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jpeg" ContentType="image/jpeg"/>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ind w:left="165"/>
        <w:rPr>
          <w:rFonts w:ascii="Times New Roman"/>
          <w:sz w:val="20"/>
        </w:rPr>
      </w:pPr>
      <w:r>
        <w:rPr>
          <w:rFonts w:ascii="Times New Roman"/>
          <w:sz w:val="20"/>
        </w:rPr>
        <w:drawing>
          <wp:inline distT="0" distB="0" distL="0" distR="0">
            <wp:extent cx="5979980" cy="6088380"/>
            <wp:effectExtent l="0" t="0" r="0" b="0"/>
            <wp:docPr id="2" name="Image 2"/>
            <wp:cNvGraphicFramePr>
              <a:graphicFrameLocks/>
            </wp:cNvGraphicFramePr>
            <a:graphic>
              <a:graphicData uri="http://schemas.openxmlformats.org/drawingml/2006/picture">
                <pic:pic>
                  <pic:nvPicPr>
                    <pic:cNvPr id="2" name="Image 2"/>
                    <pic:cNvPicPr/>
                  </pic:nvPicPr>
                  <pic:blipFill>
                    <a:blip r:embed="rId6" cstate="print"/>
                    <a:stretch>
                      <a:fillRect/>
                    </a:stretch>
                  </pic:blipFill>
                  <pic:spPr>
                    <a:xfrm>
                      <a:off x="0" y="0"/>
                      <a:ext cx="5979980" cy="6088380"/>
                    </a:xfrm>
                    <a:prstGeom prst="rect">
                      <a:avLst/>
                    </a:prstGeom>
                  </pic:spPr>
                </pic:pic>
              </a:graphicData>
            </a:graphic>
          </wp:inline>
        </w:drawing>
      </w:r>
      <w:r>
        <w:rPr>
          <w:rFonts w:ascii="Times New Roman"/>
          <w:sz w:val="20"/>
        </w:rPr>
      </w:r>
    </w:p>
    <w:p>
      <w:pPr>
        <w:pStyle w:val="BodyText"/>
        <w:spacing w:after="0"/>
        <w:rPr>
          <w:rFonts w:ascii="Times New Roman"/>
          <w:sz w:val="20"/>
        </w:rPr>
        <w:sectPr>
          <w:footerReference w:type="default" r:id="rId5"/>
          <w:type w:val="continuous"/>
          <w:pgSz w:w="11910" w:h="16840"/>
          <w:pgMar w:header="0" w:footer="1001" w:top="1720" w:bottom="1200" w:left="1275" w:right="850"/>
          <w:pgNumType w:start="1"/>
        </w:sectPr>
      </w:pPr>
    </w:p>
    <w:p>
      <w:pPr>
        <w:pStyle w:val="Heading2"/>
        <w:spacing w:before="82"/>
        <w:jc w:val="left"/>
      </w:pPr>
      <w:r>
        <w:rPr>
          <w:spacing w:val="-2"/>
        </w:rPr>
        <w:t>Foreword</w:t>
      </w:r>
    </w:p>
    <w:p>
      <w:pPr>
        <w:pStyle w:val="BodyText"/>
        <w:spacing w:before="75"/>
        <w:rPr>
          <w:b/>
        </w:rPr>
      </w:pPr>
    </w:p>
    <w:p>
      <w:pPr>
        <w:pStyle w:val="BodyText"/>
        <w:spacing w:line="276" w:lineRule="auto" w:before="1"/>
        <w:ind w:left="165" w:right="590"/>
        <w:jc w:val="both"/>
      </w:pPr>
      <w:r>
        <w:rPr/>
        <w:t>Each year, we at the Institute for Studies and Transformations (IST) are reminded of the immense potential that lies in our communities—especially in their youth. The year 2024–25 was one of deep listening, deliberate action, and collective reimagining.</w:t>
      </w:r>
    </w:p>
    <w:p>
      <w:pPr>
        <w:pStyle w:val="BodyText"/>
        <w:spacing w:before="37"/>
      </w:pPr>
    </w:p>
    <w:p>
      <w:pPr>
        <w:pStyle w:val="BodyText"/>
        <w:spacing w:line="276" w:lineRule="auto" w:before="1"/>
        <w:ind w:left="165" w:right="589"/>
        <w:jc w:val="both"/>
      </w:pPr>
      <w:r>
        <w:rPr/>
        <w:t>We traversed from village meetings under banyan trees to creative workshops in bustling bastis</w:t>
      </w:r>
      <w:r>
        <w:rPr>
          <w:spacing w:val="-2"/>
        </w:rPr>
        <w:t> </w:t>
      </w:r>
      <w:r>
        <w:rPr/>
        <w:t>and</w:t>
      </w:r>
      <w:r>
        <w:rPr>
          <w:spacing w:val="-2"/>
        </w:rPr>
        <w:t> </w:t>
      </w:r>
      <w:r>
        <w:rPr/>
        <w:t>national</w:t>
      </w:r>
      <w:r>
        <w:rPr>
          <w:spacing w:val="-2"/>
        </w:rPr>
        <w:t> </w:t>
      </w:r>
      <w:r>
        <w:rPr/>
        <w:t>consultations</w:t>
      </w:r>
      <w:r>
        <w:rPr>
          <w:spacing w:val="-2"/>
        </w:rPr>
        <w:t> </w:t>
      </w:r>
      <w:r>
        <w:rPr/>
        <w:t>on</w:t>
      </w:r>
      <w:r>
        <w:rPr>
          <w:spacing w:val="-2"/>
        </w:rPr>
        <w:t> </w:t>
      </w:r>
      <w:r>
        <w:rPr/>
        <w:t>inclusive</w:t>
      </w:r>
      <w:r>
        <w:rPr>
          <w:spacing w:val="-2"/>
        </w:rPr>
        <w:t> </w:t>
      </w:r>
      <w:r>
        <w:rPr/>
        <w:t>agriculture.</w:t>
      </w:r>
      <w:r>
        <w:rPr>
          <w:spacing w:val="-2"/>
        </w:rPr>
        <w:t> </w:t>
      </w:r>
      <w:r>
        <w:rPr/>
        <w:t>In</w:t>
      </w:r>
      <w:r>
        <w:rPr>
          <w:spacing w:val="-2"/>
        </w:rPr>
        <w:t> </w:t>
      </w:r>
      <w:r>
        <w:rPr/>
        <w:t>each</w:t>
      </w:r>
      <w:r>
        <w:rPr>
          <w:spacing w:val="-2"/>
        </w:rPr>
        <w:t> </w:t>
      </w:r>
      <w:r>
        <w:rPr/>
        <w:t>space,</w:t>
      </w:r>
      <w:r>
        <w:rPr>
          <w:spacing w:val="-2"/>
        </w:rPr>
        <w:t> </w:t>
      </w:r>
      <w:r>
        <w:rPr/>
        <w:t>young</w:t>
      </w:r>
      <w:r>
        <w:rPr>
          <w:spacing w:val="-2"/>
        </w:rPr>
        <w:t> </w:t>
      </w:r>
      <w:r>
        <w:rPr/>
        <w:t>people</w:t>
      </w:r>
      <w:r>
        <w:rPr>
          <w:spacing w:val="-2"/>
        </w:rPr>
        <w:t> </w:t>
      </w:r>
      <w:r>
        <w:rPr/>
        <w:t>stood up—not just to be heard, but to lead. Whether they were reclaiming civic spaces, reviving constitutional values in classrooms, or championing millet-based food systems, they were doing more than participating. They were transforming.</w:t>
      </w:r>
    </w:p>
    <w:p>
      <w:pPr>
        <w:pStyle w:val="BodyText"/>
        <w:spacing w:before="37"/>
      </w:pPr>
    </w:p>
    <w:p>
      <w:pPr>
        <w:pStyle w:val="BodyText"/>
        <w:spacing w:line="276" w:lineRule="auto"/>
        <w:ind w:left="165" w:right="590"/>
      </w:pPr>
      <w:r>
        <w:rPr/>
        <w:t>This</w:t>
      </w:r>
      <w:r>
        <w:rPr>
          <w:spacing w:val="24"/>
        </w:rPr>
        <w:t> </w:t>
      </w:r>
      <w:r>
        <w:rPr/>
        <w:t>year’s</w:t>
      </w:r>
      <w:r>
        <w:rPr>
          <w:spacing w:val="24"/>
        </w:rPr>
        <w:t> </w:t>
      </w:r>
      <w:r>
        <w:rPr/>
        <w:t>report</w:t>
      </w:r>
      <w:r>
        <w:rPr>
          <w:spacing w:val="24"/>
        </w:rPr>
        <w:t> </w:t>
      </w:r>
      <w:r>
        <w:rPr/>
        <w:t>captures</w:t>
      </w:r>
      <w:r>
        <w:rPr>
          <w:spacing w:val="24"/>
        </w:rPr>
        <w:t> </w:t>
      </w:r>
      <w:r>
        <w:rPr/>
        <w:t>the</w:t>
      </w:r>
      <w:r>
        <w:rPr>
          <w:spacing w:val="24"/>
        </w:rPr>
        <w:t> </w:t>
      </w:r>
      <w:r>
        <w:rPr/>
        <w:t>vibrant</w:t>
      </w:r>
      <w:r>
        <w:rPr>
          <w:spacing w:val="24"/>
        </w:rPr>
        <w:t> </w:t>
      </w:r>
      <w:r>
        <w:rPr/>
        <w:t>journeys</w:t>
      </w:r>
      <w:r>
        <w:rPr>
          <w:spacing w:val="24"/>
        </w:rPr>
        <w:t> </w:t>
      </w:r>
      <w:r>
        <w:rPr/>
        <w:t>of</w:t>
      </w:r>
      <w:r>
        <w:rPr>
          <w:spacing w:val="24"/>
        </w:rPr>
        <w:t> </w:t>
      </w:r>
      <w:r>
        <w:rPr/>
        <w:t>three</w:t>
      </w:r>
      <w:r>
        <w:rPr>
          <w:spacing w:val="24"/>
        </w:rPr>
        <w:t> </w:t>
      </w:r>
      <w:r>
        <w:rPr/>
        <w:t>flagship</w:t>
      </w:r>
      <w:r>
        <w:rPr>
          <w:spacing w:val="24"/>
        </w:rPr>
        <w:t> </w:t>
      </w:r>
      <w:r>
        <w:rPr/>
        <w:t>programs</w:t>
      </w:r>
      <w:r>
        <w:rPr>
          <w:spacing w:val="24"/>
        </w:rPr>
        <w:t> </w:t>
      </w:r>
      <w:r>
        <w:rPr/>
        <w:t>alined</w:t>
      </w:r>
      <w:r>
        <w:rPr>
          <w:spacing w:val="24"/>
        </w:rPr>
        <w:t> </w:t>
      </w:r>
      <w:r>
        <w:rPr/>
        <w:t>with</w:t>
      </w:r>
      <w:r>
        <w:rPr>
          <w:spacing w:val="24"/>
        </w:rPr>
        <w:t> </w:t>
      </w:r>
      <w:r>
        <w:rPr/>
        <w:t>the IST’s primary objectives:</w:t>
      </w:r>
    </w:p>
    <w:p>
      <w:pPr>
        <w:pStyle w:val="ListParagraph"/>
        <w:numPr>
          <w:ilvl w:val="0"/>
          <w:numId w:val="1"/>
        </w:numPr>
        <w:tabs>
          <w:tab w:pos="524" w:val="left" w:leader="none"/>
        </w:tabs>
        <w:spacing w:line="240" w:lineRule="auto" w:before="0" w:after="0"/>
        <w:ind w:left="524" w:right="0" w:hanging="359"/>
        <w:jc w:val="left"/>
        <w:rPr>
          <w:sz w:val="22"/>
        </w:rPr>
      </w:pPr>
      <w:r>
        <w:rPr>
          <w:b/>
          <w:sz w:val="22"/>
        </w:rPr>
        <w:t>Pehchaan</w:t>
      </w:r>
      <w:r>
        <w:rPr>
          <w:sz w:val="22"/>
        </w:rPr>
        <w:t>,</w:t>
      </w:r>
      <w:r>
        <w:rPr>
          <w:spacing w:val="-7"/>
          <w:sz w:val="22"/>
        </w:rPr>
        <w:t> </w:t>
      </w:r>
      <w:r>
        <w:rPr>
          <w:sz w:val="22"/>
        </w:rPr>
        <w:t>which</w:t>
      </w:r>
      <w:r>
        <w:rPr>
          <w:spacing w:val="-4"/>
          <w:sz w:val="22"/>
        </w:rPr>
        <w:t> </w:t>
      </w:r>
      <w:r>
        <w:rPr>
          <w:sz w:val="22"/>
        </w:rPr>
        <w:t>continued</w:t>
      </w:r>
      <w:r>
        <w:rPr>
          <w:spacing w:val="-4"/>
          <w:sz w:val="22"/>
        </w:rPr>
        <w:t> </w:t>
      </w:r>
      <w:r>
        <w:rPr>
          <w:sz w:val="22"/>
        </w:rPr>
        <w:t>to</w:t>
      </w:r>
      <w:r>
        <w:rPr>
          <w:spacing w:val="-4"/>
          <w:sz w:val="22"/>
        </w:rPr>
        <w:t> </w:t>
      </w:r>
      <w:r>
        <w:rPr>
          <w:sz w:val="22"/>
        </w:rPr>
        <w:t>grow</w:t>
      </w:r>
      <w:r>
        <w:rPr>
          <w:spacing w:val="-5"/>
          <w:sz w:val="22"/>
        </w:rPr>
        <w:t> </w:t>
      </w:r>
      <w:r>
        <w:rPr>
          <w:sz w:val="22"/>
        </w:rPr>
        <w:t>a</w:t>
      </w:r>
      <w:r>
        <w:rPr>
          <w:spacing w:val="-4"/>
          <w:sz w:val="22"/>
        </w:rPr>
        <w:t> </w:t>
      </w:r>
      <w:r>
        <w:rPr>
          <w:sz w:val="22"/>
        </w:rPr>
        <w:t>constellation</w:t>
      </w:r>
      <w:r>
        <w:rPr>
          <w:spacing w:val="-4"/>
          <w:sz w:val="22"/>
        </w:rPr>
        <w:t> </w:t>
      </w:r>
      <w:r>
        <w:rPr>
          <w:sz w:val="22"/>
        </w:rPr>
        <w:t>of</w:t>
      </w:r>
      <w:r>
        <w:rPr>
          <w:spacing w:val="-4"/>
          <w:sz w:val="22"/>
        </w:rPr>
        <w:t> </w:t>
      </w:r>
      <w:r>
        <w:rPr>
          <w:sz w:val="22"/>
        </w:rPr>
        <w:t>youth</w:t>
      </w:r>
      <w:r>
        <w:rPr>
          <w:spacing w:val="-4"/>
          <w:sz w:val="22"/>
        </w:rPr>
        <w:t> </w:t>
      </w:r>
      <w:r>
        <w:rPr>
          <w:spacing w:val="-2"/>
          <w:sz w:val="22"/>
        </w:rPr>
        <w:t>leaders.</w:t>
      </w:r>
    </w:p>
    <w:p>
      <w:pPr>
        <w:pStyle w:val="ListParagraph"/>
        <w:numPr>
          <w:ilvl w:val="0"/>
          <w:numId w:val="1"/>
        </w:numPr>
        <w:tabs>
          <w:tab w:pos="524" w:val="left" w:leader="none"/>
        </w:tabs>
        <w:spacing w:line="240" w:lineRule="auto" w:before="38" w:after="0"/>
        <w:ind w:left="524" w:right="0" w:hanging="359"/>
        <w:jc w:val="left"/>
        <w:rPr>
          <w:sz w:val="22"/>
        </w:rPr>
      </w:pPr>
      <w:r>
        <w:rPr>
          <w:b/>
          <w:sz w:val="22"/>
        </w:rPr>
        <w:t>Udaan</w:t>
      </w:r>
      <w:r>
        <w:rPr>
          <w:sz w:val="22"/>
        </w:rPr>
        <w:t>,</w:t>
      </w:r>
      <w:r>
        <w:rPr>
          <w:spacing w:val="-4"/>
          <w:sz w:val="22"/>
        </w:rPr>
        <w:t> </w:t>
      </w:r>
      <w:r>
        <w:rPr>
          <w:sz w:val="22"/>
        </w:rPr>
        <w:t>which</w:t>
      </w:r>
      <w:r>
        <w:rPr>
          <w:spacing w:val="-3"/>
          <w:sz w:val="22"/>
        </w:rPr>
        <w:t> </w:t>
      </w:r>
      <w:r>
        <w:rPr>
          <w:sz w:val="22"/>
        </w:rPr>
        <w:t>anchored</w:t>
      </w:r>
      <w:r>
        <w:rPr>
          <w:spacing w:val="-4"/>
          <w:sz w:val="22"/>
        </w:rPr>
        <w:t> </w:t>
      </w:r>
      <w:r>
        <w:rPr>
          <w:sz w:val="22"/>
        </w:rPr>
        <w:t>children’s</w:t>
      </w:r>
      <w:r>
        <w:rPr>
          <w:spacing w:val="-3"/>
          <w:sz w:val="22"/>
        </w:rPr>
        <w:t> </w:t>
      </w:r>
      <w:r>
        <w:rPr>
          <w:sz w:val="22"/>
        </w:rPr>
        <w:t>right</w:t>
      </w:r>
      <w:r>
        <w:rPr>
          <w:spacing w:val="-3"/>
          <w:sz w:val="22"/>
        </w:rPr>
        <w:t> </w:t>
      </w:r>
      <w:r>
        <w:rPr>
          <w:sz w:val="22"/>
        </w:rPr>
        <w:t>to</w:t>
      </w:r>
      <w:r>
        <w:rPr>
          <w:spacing w:val="-4"/>
          <w:sz w:val="22"/>
        </w:rPr>
        <w:t> </w:t>
      </w:r>
      <w:r>
        <w:rPr>
          <w:sz w:val="22"/>
        </w:rPr>
        <w:t>education</w:t>
      </w:r>
      <w:r>
        <w:rPr>
          <w:spacing w:val="-3"/>
          <w:sz w:val="22"/>
        </w:rPr>
        <w:t> </w:t>
      </w:r>
      <w:r>
        <w:rPr>
          <w:sz w:val="22"/>
        </w:rPr>
        <w:t>with</w:t>
      </w:r>
      <w:r>
        <w:rPr>
          <w:spacing w:val="-4"/>
          <w:sz w:val="22"/>
        </w:rPr>
        <w:t> </w:t>
      </w:r>
      <w:r>
        <w:rPr>
          <w:sz w:val="22"/>
        </w:rPr>
        <w:t>deep</w:t>
      </w:r>
      <w:r>
        <w:rPr>
          <w:spacing w:val="-3"/>
          <w:sz w:val="22"/>
        </w:rPr>
        <w:t> </w:t>
      </w:r>
      <w:r>
        <w:rPr>
          <w:sz w:val="22"/>
        </w:rPr>
        <w:t>community</w:t>
      </w:r>
      <w:r>
        <w:rPr>
          <w:spacing w:val="-3"/>
          <w:sz w:val="22"/>
        </w:rPr>
        <w:t> </w:t>
      </w:r>
      <w:r>
        <w:rPr>
          <w:spacing w:val="-2"/>
          <w:sz w:val="22"/>
        </w:rPr>
        <w:t>collaboration.</w:t>
      </w:r>
    </w:p>
    <w:p>
      <w:pPr>
        <w:pStyle w:val="ListParagraph"/>
        <w:numPr>
          <w:ilvl w:val="0"/>
          <w:numId w:val="1"/>
        </w:numPr>
        <w:tabs>
          <w:tab w:pos="525" w:val="left" w:leader="none"/>
        </w:tabs>
        <w:spacing w:line="276" w:lineRule="auto" w:before="38" w:after="0"/>
        <w:ind w:left="525" w:right="591" w:hanging="360"/>
        <w:jc w:val="left"/>
        <w:rPr>
          <w:sz w:val="22"/>
        </w:rPr>
      </w:pPr>
      <w:r>
        <w:rPr>
          <w:b/>
          <w:sz w:val="22"/>
        </w:rPr>
        <w:t>RRAN</w:t>
      </w:r>
      <w:r>
        <w:rPr>
          <w:sz w:val="22"/>
        </w:rPr>
        <w:t>,</w:t>
      </w:r>
      <w:r>
        <w:rPr>
          <w:spacing w:val="40"/>
          <w:sz w:val="22"/>
        </w:rPr>
        <w:t> </w:t>
      </w:r>
      <w:r>
        <w:rPr>
          <w:sz w:val="22"/>
        </w:rPr>
        <w:t>which</w:t>
      </w:r>
      <w:r>
        <w:rPr>
          <w:spacing w:val="40"/>
          <w:sz w:val="22"/>
        </w:rPr>
        <w:t> </w:t>
      </w:r>
      <w:r>
        <w:rPr>
          <w:sz w:val="22"/>
        </w:rPr>
        <w:t>broadened</w:t>
      </w:r>
      <w:r>
        <w:rPr>
          <w:spacing w:val="40"/>
          <w:sz w:val="22"/>
        </w:rPr>
        <w:t> </w:t>
      </w:r>
      <w:r>
        <w:rPr>
          <w:sz w:val="22"/>
        </w:rPr>
        <w:t>our</w:t>
      </w:r>
      <w:r>
        <w:rPr>
          <w:spacing w:val="40"/>
          <w:sz w:val="22"/>
        </w:rPr>
        <w:t> </w:t>
      </w:r>
      <w:r>
        <w:rPr>
          <w:sz w:val="22"/>
        </w:rPr>
        <w:t>imagination</w:t>
      </w:r>
      <w:r>
        <w:rPr>
          <w:spacing w:val="40"/>
          <w:sz w:val="22"/>
        </w:rPr>
        <w:t> </w:t>
      </w:r>
      <w:r>
        <w:rPr>
          <w:sz w:val="22"/>
        </w:rPr>
        <w:t>of</w:t>
      </w:r>
      <w:r>
        <w:rPr>
          <w:spacing w:val="40"/>
          <w:sz w:val="22"/>
        </w:rPr>
        <w:t> </w:t>
      </w:r>
      <w:r>
        <w:rPr>
          <w:sz w:val="22"/>
        </w:rPr>
        <w:t>sustainable,</w:t>
      </w:r>
      <w:r>
        <w:rPr>
          <w:spacing w:val="40"/>
          <w:sz w:val="22"/>
        </w:rPr>
        <w:t> </w:t>
      </w:r>
      <w:r>
        <w:rPr>
          <w:sz w:val="22"/>
        </w:rPr>
        <w:t>equitable</w:t>
      </w:r>
      <w:r>
        <w:rPr>
          <w:spacing w:val="40"/>
          <w:sz w:val="22"/>
        </w:rPr>
        <w:t> </w:t>
      </w:r>
      <w:r>
        <w:rPr>
          <w:sz w:val="22"/>
        </w:rPr>
        <w:t>farming</w:t>
      </w:r>
      <w:r>
        <w:rPr>
          <w:spacing w:val="40"/>
          <w:sz w:val="22"/>
        </w:rPr>
        <w:t> </w:t>
      </w:r>
      <w:r>
        <w:rPr>
          <w:sz w:val="22"/>
        </w:rPr>
        <w:t>systems rooted in indigenous knowledge.</w:t>
      </w:r>
    </w:p>
    <w:p>
      <w:pPr>
        <w:pStyle w:val="BodyText"/>
        <w:spacing w:before="38"/>
      </w:pPr>
    </w:p>
    <w:p>
      <w:pPr>
        <w:pStyle w:val="BodyText"/>
        <w:spacing w:line="276" w:lineRule="auto"/>
        <w:ind w:left="165" w:right="588"/>
        <w:jc w:val="both"/>
      </w:pPr>
      <w:r>
        <w:rPr/>
        <w:t>From immersive exhibitions and performances to workshops on critical thinking and community storytelling, Conflictorium became a bridge—between the personal and political, the individual and the collective, and the imagined and the real.</w:t>
      </w:r>
    </w:p>
    <w:p>
      <w:pPr>
        <w:pStyle w:val="BodyText"/>
        <w:spacing w:before="38"/>
      </w:pPr>
    </w:p>
    <w:p>
      <w:pPr>
        <w:pStyle w:val="BodyText"/>
        <w:spacing w:line="276" w:lineRule="auto"/>
        <w:ind w:left="165" w:right="592"/>
        <w:jc w:val="both"/>
      </w:pPr>
      <w:r>
        <w:rPr/>
        <w:t>We are proud of the courage, conviction, and creativity that our teams and communities demonstrated throughout the year. We are grateful to our partners, donors, friends, and</w:t>
      </w:r>
      <w:r>
        <w:rPr>
          <w:spacing w:val="40"/>
        </w:rPr>
        <w:t> </w:t>
      </w:r>
      <w:r>
        <w:rPr/>
        <w:t>most importantly, the people who continue to walk with us—especially in uncertainty.</w:t>
      </w:r>
    </w:p>
    <w:p>
      <w:pPr>
        <w:pStyle w:val="BodyText"/>
        <w:spacing w:before="38"/>
      </w:pPr>
    </w:p>
    <w:p>
      <w:pPr>
        <w:pStyle w:val="BodyText"/>
        <w:spacing w:line="276" w:lineRule="auto"/>
        <w:ind w:left="165"/>
      </w:pPr>
      <w:r>
        <w:rPr/>
        <w:t>As</w:t>
      </w:r>
      <w:r>
        <w:rPr>
          <w:spacing w:val="-1"/>
        </w:rPr>
        <w:t> </w:t>
      </w:r>
      <w:r>
        <w:rPr/>
        <w:t>we</w:t>
      </w:r>
      <w:r>
        <w:rPr>
          <w:spacing w:val="-1"/>
        </w:rPr>
        <w:t> </w:t>
      </w:r>
      <w:r>
        <w:rPr/>
        <w:t>look</w:t>
      </w:r>
      <w:r>
        <w:rPr>
          <w:spacing w:val="-1"/>
        </w:rPr>
        <w:t> </w:t>
      </w:r>
      <w:r>
        <w:rPr/>
        <w:t>ahead,</w:t>
      </w:r>
      <w:r>
        <w:rPr>
          <w:spacing w:val="-1"/>
        </w:rPr>
        <w:t> </w:t>
      </w:r>
      <w:r>
        <w:rPr/>
        <w:t>we</w:t>
      </w:r>
      <w:r>
        <w:rPr>
          <w:spacing w:val="-1"/>
        </w:rPr>
        <w:t> </w:t>
      </w:r>
      <w:r>
        <w:rPr/>
        <w:t>recommit</w:t>
      </w:r>
      <w:r>
        <w:rPr>
          <w:spacing w:val="-1"/>
        </w:rPr>
        <w:t> </w:t>
      </w:r>
      <w:r>
        <w:rPr/>
        <w:t>to</w:t>
      </w:r>
      <w:r>
        <w:rPr>
          <w:spacing w:val="-1"/>
        </w:rPr>
        <w:t> </w:t>
      </w:r>
      <w:r>
        <w:rPr/>
        <w:t>building</w:t>
      </w:r>
      <w:r>
        <w:rPr>
          <w:spacing w:val="-1"/>
        </w:rPr>
        <w:t> </w:t>
      </w:r>
      <w:r>
        <w:rPr/>
        <w:t>spaces</w:t>
      </w:r>
      <w:r>
        <w:rPr>
          <w:spacing w:val="-1"/>
        </w:rPr>
        <w:t> </w:t>
      </w:r>
      <w:r>
        <w:rPr/>
        <w:t>of</w:t>
      </w:r>
      <w:r>
        <w:rPr>
          <w:spacing w:val="-1"/>
        </w:rPr>
        <w:t> </w:t>
      </w:r>
      <w:r>
        <w:rPr/>
        <w:t>transformation</w:t>
      </w:r>
      <w:r>
        <w:rPr>
          <w:spacing w:val="-1"/>
        </w:rPr>
        <w:t> </w:t>
      </w:r>
      <w:r>
        <w:rPr/>
        <w:t>that</w:t>
      </w:r>
      <w:r>
        <w:rPr>
          <w:spacing w:val="-1"/>
        </w:rPr>
        <w:t> </w:t>
      </w:r>
      <w:r>
        <w:rPr/>
        <w:t>are</w:t>
      </w:r>
      <w:r>
        <w:rPr>
          <w:spacing w:val="-1"/>
        </w:rPr>
        <w:t> </w:t>
      </w:r>
      <w:r>
        <w:rPr/>
        <w:t>just,</w:t>
      </w:r>
      <w:r>
        <w:rPr>
          <w:spacing w:val="-1"/>
        </w:rPr>
        <w:t> </w:t>
      </w:r>
      <w:r>
        <w:rPr/>
        <w:t>plural,</w:t>
      </w:r>
      <w:r>
        <w:rPr>
          <w:spacing w:val="-1"/>
        </w:rPr>
        <w:t> </w:t>
      </w:r>
      <w:r>
        <w:rPr/>
        <w:t>and inclusive—where every young person is trusted with the tools to lead.</w:t>
      </w:r>
    </w:p>
    <w:p>
      <w:pPr>
        <w:pStyle w:val="BodyText"/>
        <w:spacing w:before="38"/>
      </w:pPr>
    </w:p>
    <w:p>
      <w:pPr>
        <w:pStyle w:val="Heading2"/>
        <w:tabs>
          <w:tab w:pos="8151" w:val="left" w:leader="none"/>
        </w:tabs>
        <w:jc w:val="left"/>
      </w:pPr>
      <w:r>
        <w:rPr>
          <w:spacing w:val="-5"/>
        </w:rPr>
        <w:t>In</w:t>
      </w:r>
      <w:r>
        <w:rPr/>
        <w:tab/>
      </w:r>
      <w:r>
        <w:rPr>
          <w:spacing w:val="-2"/>
        </w:rPr>
        <w:t>solidarity,</w:t>
      </w:r>
    </w:p>
    <w:p>
      <w:pPr>
        <w:pStyle w:val="BodyText"/>
        <w:spacing w:before="38"/>
        <w:ind w:left="165"/>
      </w:pPr>
      <w:r>
        <w:rPr/>
        <w:t>Nayan</w:t>
      </w:r>
      <w:r>
        <w:rPr>
          <w:spacing w:val="-4"/>
        </w:rPr>
        <w:t> </w:t>
      </w:r>
      <w:r>
        <w:rPr>
          <w:spacing w:val="-2"/>
        </w:rPr>
        <w:t>Patel</w:t>
      </w:r>
    </w:p>
    <w:p>
      <w:pPr>
        <w:pStyle w:val="BodyText"/>
        <w:tabs>
          <w:tab w:pos="1720" w:val="left" w:leader="none"/>
          <w:tab w:pos="3115" w:val="left" w:leader="none"/>
          <w:tab w:pos="4474" w:val="left" w:leader="none"/>
          <w:tab w:pos="5320" w:val="left" w:leader="none"/>
          <w:tab w:pos="6643" w:val="left" w:leader="none"/>
          <w:tab w:pos="7599" w:val="left" w:leader="none"/>
        </w:tabs>
        <w:spacing w:line="276" w:lineRule="auto" w:before="38"/>
        <w:ind w:left="165" w:right="589"/>
      </w:pPr>
      <w:r>
        <w:rPr>
          <w:spacing w:val="-2"/>
        </w:rPr>
        <w:t>Managing</w:t>
      </w:r>
      <w:r>
        <w:rPr/>
        <w:tab/>
      </w:r>
      <w:r>
        <w:rPr>
          <w:spacing w:val="-2"/>
        </w:rPr>
        <w:t>Trustee,</w:t>
      </w:r>
      <w:r>
        <w:rPr/>
        <w:tab/>
      </w:r>
      <w:r>
        <w:rPr>
          <w:spacing w:val="-2"/>
        </w:rPr>
        <w:t>Institute</w:t>
      </w:r>
      <w:r>
        <w:rPr/>
        <w:tab/>
      </w:r>
      <w:r>
        <w:rPr>
          <w:spacing w:val="-4"/>
        </w:rPr>
        <w:t>for</w:t>
      </w:r>
      <w:r>
        <w:rPr/>
        <w:tab/>
      </w:r>
      <w:r>
        <w:rPr>
          <w:spacing w:val="-2"/>
        </w:rPr>
        <w:t>Studies</w:t>
      </w:r>
      <w:r>
        <w:rPr/>
        <w:tab/>
      </w:r>
      <w:r>
        <w:rPr>
          <w:spacing w:val="-4"/>
        </w:rPr>
        <w:t>and</w:t>
      </w:r>
      <w:r>
        <w:rPr/>
        <w:tab/>
      </w:r>
      <w:r>
        <w:rPr>
          <w:spacing w:val="-2"/>
        </w:rPr>
        <w:t>Transformations </w:t>
      </w:r>
      <w:r>
        <w:rPr/>
        <w:t>April 2025</w:t>
      </w:r>
    </w:p>
    <w:p>
      <w:pPr>
        <w:pStyle w:val="BodyText"/>
        <w:spacing w:after="0" w:line="276" w:lineRule="auto"/>
        <w:sectPr>
          <w:pgSz w:w="11910" w:h="16840"/>
          <w:pgMar w:header="0" w:footer="1001" w:top="1340" w:bottom="1200" w:left="1275" w:right="850"/>
        </w:sectPr>
      </w:pPr>
    </w:p>
    <w:p>
      <w:pPr>
        <w:pStyle w:val="BodyText"/>
        <w:ind w:left="136"/>
        <w:rPr>
          <w:sz w:val="20"/>
        </w:rPr>
      </w:pPr>
      <w:r>
        <w:rPr>
          <w:sz w:val="20"/>
        </w:rPr>
        <mc:AlternateContent>
          <mc:Choice Requires="wps">
            <w:drawing>
              <wp:inline distT="0" distB="0" distL="0" distR="0">
                <wp:extent cx="5767705" cy="347345"/>
                <wp:effectExtent l="0" t="0" r="0" b="0"/>
                <wp:docPr id="3" name="Textbox 3"/>
                <wp:cNvGraphicFramePr>
                  <a:graphicFrameLocks/>
                </wp:cNvGraphicFramePr>
                <a:graphic>
                  <a:graphicData uri="http://schemas.microsoft.com/office/word/2010/wordprocessingShape">
                    <wps:wsp>
                      <wps:cNvPr id="3" name="Textbox 3"/>
                      <wps:cNvSpPr txBox="1"/>
                      <wps:spPr>
                        <a:xfrm>
                          <a:off x="0" y="0"/>
                          <a:ext cx="5767705" cy="347345"/>
                        </a:xfrm>
                        <a:prstGeom prst="rect">
                          <a:avLst/>
                        </a:prstGeom>
                        <a:solidFill>
                          <a:srgbClr val="BCD6ED"/>
                        </a:solidFill>
                      </wps:spPr>
                      <wps:txbx>
                        <w:txbxContent>
                          <w:p>
                            <w:pPr>
                              <w:spacing w:line="259" w:lineRule="auto" w:before="0"/>
                              <w:ind w:left="28" w:right="0" w:firstLine="0"/>
                              <w:jc w:val="left"/>
                              <w:rPr>
                                <w:b/>
                                <w:color w:val="000000"/>
                                <w:sz w:val="22"/>
                              </w:rPr>
                            </w:pPr>
                            <w:r>
                              <w:rPr>
                                <w:b/>
                                <w:color w:val="000000"/>
                                <w:sz w:val="22"/>
                              </w:rPr>
                              <w:t>OBJECTIVE 1: TO SUPPORT THE DEVELOPMENT OF THE NEEDY, DEPRIVED AND DISADVANTAGED THEROUGH VARIOUS DEVELOPMENT INIRTIATIVES</w:t>
                            </w:r>
                          </w:p>
                        </w:txbxContent>
                      </wps:txbx>
                      <wps:bodyPr wrap="square" lIns="0" tIns="0" rIns="0" bIns="0" rtlCol="0">
                        <a:noAutofit/>
                      </wps:bodyPr>
                    </wps:wsp>
                  </a:graphicData>
                </a:graphic>
              </wp:inline>
            </w:drawing>
          </mc:Choice>
          <mc:Fallback>
            <w:pict>
              <v:shape style="width:454.15pt;height:27.35pt;mso-position-horizontal-relative:char;mso-position-vertical-relative:line" type="#_x0000_t202" id="docshape2" filled="true" fillcolor="#bcd6ed" stroked="false">
                <w10:anchorlock/>
                <v:textbox inset="0,0,0,0">
                  <w:txbxContent>
                    <w:p>
                      <w:pPr>
                        <w:spacing w:line="259" w:lineRule="auto" w:before="0"/>
                        <w:ind w:left="28" w:right="0" w:firstLine="0"/>
                        <w:jc w:val="left"/>
                        <w:rPr>
                          <w:b/>
                          <w:color w:val="000000"/>
                          <w:sz w:val="22"/>
                        </w:rPr>
                      </w:pPr>
                      <w:r>
                        <w:rPr>
                          <w:b/>
                          <w:color w:val="000000"/>
                          <w:sz w:val="22"/>
                        </w:rPr>
                        <w:t>OBJECTIVE 1: TO SUPPORT THE DEVELOPMENT OF THE NEEDY, DEPRIVED AND DISADVANTAGED THEROUGH VARIOUS DEVELOPMENT INIRTIATIVES</w:t>
                      </w:r>
                    </w:p>
                  </w:txbxContent>
                </v:textbox>
                <v:fill type="solid"/>
              </v:shape>
            </w:pict>
          </mc:Fallback>
        </mc:AlternateContent>
      </w:r>
      <w:r>
        <w:rPr>
          <w:sz w:val="20"/>
        </w:rPr>
      </w:r>
    </w:p>
    <w:p>
      <w:pPr>
        <w:pStyle w:val="BodyText"/>
        <w:rPr>
          <w:sz w:val="20"/>
        </w:rPr>
      </w:pPr>
    </w:p>
    <w:p>
      <w:pPr>
        <w:pStyle w:val="BodyText"/>
        <w:spacing w:before="31"/>
        <w:rPr>
          <w:sz w:val="20"/>
        </w:rPr>
      </w:pPr>
      <w:r>
        <w:rPr>
          <w:sz w:val="20"/>
        </w:rPr>
        <mc:AlternateContent>
          <mc:Choice Requires="wps">
            <w:drawing>
              <wp:anchor distT="0" distB="0" distL="0" distR="0" allowOverlap="1" layoutInCell="1" locked="0" behindDoc="1" simplePos="0" relativeHeight="487588352">
                <wp:simplePos x="0" y="0"/>
                <wp:positionH relativeFrom="page">
                  <wp:posOffset>896400</wp:posOffset>
                </wp:positionH>
                <wp:positionV relativeFrom="paragraph">
                  <wp:posOffset>181292</wp:posOffset>
                </wp:positionV>
                <wp:extent cx="5767705" cy="342900"/>
                <wp:effectExtent l="0" t="0" r="0" b="0"/>
                <wp:wrapTopAndBottom/>
                <wp:docPr id="4" name="Textbox 4"/>
                <wp:cNvGraphicFramePr>
                  <a:graphicFrameLocks/>
                </wp:cNvGraphicFramePr>
                <a:graphic>
                  <a:graphicData uri="http://schemas.microsoft.com/office/word/2010/wordprocessingShape">
                    <wps:wsp>
                      <wps:cNvPr id="4" name="Textbox 4"/>
                      <wps:cNvSpPr txBox="1"/>
                      <wps:spPr>
                        <a:xfrm>
                          <a:off x="0" y="0"/>
                          <a:ext cx="5767705" cy="342900"/>
                        </a:xfrm>
                        <a:prstGeom prst="rect">
                          <a:avLst/>
                        </a:prstGeom>
                        <a:solidFill>
                          <a:srgbClr val="FFE699"/>
                        </a:solidFill>
                      </wps:spPr>
                      <wps:txbx>
                        <w:txbxContent>
                          <w:p>
                            <w:pPr>
                              <w:spacing w:before="0"/>
                              <w:ind w:left="28" w:right="0" w:firstLine="0"/>
                              <w:jc w:val="left"/>
                              <w:rPr>
                                <w:b/>
                                <w:color w:val="000000"/>
                                <w:sz w:val="22"/>
                              </w:rPr>
                            </w:pPr>
                            <w:r>
                              <w:rPr>
                                <w:b/>
                                <w:color w:val="000000"/>
                                <w:sz w:val="22"/>
                              </w:rPr>
                              <w:t>A.</w:t>
                            </w:r>
                            <w:r>
                              <w:rPr>
                                <w:b/>
                                <w:color w:val="000000"/>
                                <w:spacing w:val="71"/>
                                <w:sz w:val="22"/>
                              </w:rPr>
                              <w:t> </w:t>
                            </w:r>
                            <w:r>
                              <w:rPr>
                                <w:b/>
                                <w:color w:val="000000"/>
                                <w:sz w:val="22"/>
                              </w:rPr>
                              <w:t>Udaan</w:t>
                            </w:r>
                            <w:r>
                              <w:rPr>
                                <w:b/>
                                <w:color w:val="000000"/>
                                <w:spacing w:val="-3"/>
                                <w:sz w:val="22"/>
                              </w:rPr>
                              <w:t> </w:t>
                            </w:r>
                            <w:r>
                              <w:rPr>
                                <w:b/>
                                <w:color w:val="000000"/>
                                <w:sz w:val="22"/>
                              </w:rPr>
                              <w:t>education</w:t>
                            </w:r>
                            <w:r>
                              <w:rPr>
                                <w:b/>
                                <w:color w:val="000000"/>
                                <w:spacing w:val="-3"/>
                                <w:sz w:val="22"/>
                              </w:rPr>
                              <w:t> </w:t>
                            </w:r>
                            <w:r>
                              <w:rPr>
                                <w:b/>
                                <w:color w:val="000000"/>
                                <w:spacing w:val="-2"/>
                                <w:sz w:val="22"/>
                              </w:rPr>
                              <w:t>initiative:</w:t>
                            </w:r>
                          </w:p>
                        </w:txbxContent>
                      </wps:txbx>
                      <wps:bodyPr wrap="square" lIns="0" tIns="0" rIns="0" bIns="0" rtlCol="0">
                        <a:noAutofit/>
                      </wps:bodyPr>
                    </wps:wsp>
                  </a:graphicData>
                </a:graphic>
              </wp:anchor>
            </w:drawing>
          </mc:Choice>
          <mc:Fallback>
            <w:pict>
              <v:shape style="position:absolute;margin-left:70.582703pt;margin-top:14.274977pt;width:454.15pt;height:27pt;mso-position-horizontal-relative:page;mso-position-vertical-relative:paragraph;z-index:-15728128;mso-wrap-distance-left:0;mso-wrap-distance-right:0" type="#_x0000_t202" id="docshape3" filled="true" fillcolor="#ffe699" stroked="false">
                <v:textbox inset="0,0,0,0">
                  <w:txbxContent>
                    <w:p>
                      <w:pPr>
                        <w:spacing w:before="0"/>
                        <w:ind w:left="28" w:right="0" w:firstLine="0"/>
                        <w:jc w:val="left"/>
                        <w:rPr>
                          <w:b/>
                          <w:color w:val="000000"/>
                          <w:sz w:val="22"/>
                        </w:rPr>
                      </w:pPr>
                      <w:r>
                        <w:rPr>
                          <w:b/>
                          <w:color w:val="000000"/>
                          <w:sz w:val="22"/>
                        </w:rPr>
                        <w:t>A.</w:t>
                      </w:r>
                      <w:r>
                        <w:rPr>
                          <w:b/>
                          <w:color w:val="000000"/>
                          <w:spacing w:val="71"/>
                          <w:sz w:val="22"/>
                        </w:rPr>
                        <w:t> </w:t>
                      </w:r>
                      <w:r>
                        <w:rPr>
                          <w:b/>
                          <w:color w:val="000000"/>
                          <w:sz w:val="22"/>
                        </w:rPr>
                        <w:t>Udaan</w:t>
                      </w:r>
                      <w:r>
                        <w:rPr>
                          <w:b/>
                          <w:color w:val="000000"/>
                          <w:spacing w:val="-3"/>
                          <w:sz w:val="22"/>
                        </w:rPr>
                        <w:t> </w:t>
                      </w:r>
                      <w:r>
                        <w:rPr>
                          <w:b/>
                          <w:color w:val="000000"/>
                          <w:sz w:val="22"/>
                        </w:rPr>
                        <w:t>education</w:t>
                      </w:r>
                      <w:r>
                        <w:rPr>
                          <w:b/>
                          <w:color w:val="000000"/>
                          <w:spacing w:val="-3"/>
                          <w:sz w:val="22"/>
                        </w:rPr>
                        <w:t> </w:t>
                      </w:r>
                      <w:r>
                        <w:rPr>
                          <w:b/>
                          <w:color w:val="000000"/>
                          <w:spacing w:val="-2"/>
                          <w:sz w:val="22"/>
                        </w:rPr>
                        <w:t>initiative:</w:t>
                      </w:r>
                    </w:p>
                  </w:txbxContent>
                </v:textbox>
                <v:fill type="solid"/>
                <w10:wrap type="topAndBottom"/>
              </v:shape>
            </w:pict>
          </mc:Fallback>
        </mc:AlternateContent>
      </w:r>
    </w:p>
    <w:p>
      <w:pPr>
        <w:pStyle w:val="BodyText"/>
        <w:spacing w:line="276" w:lineRule="auto"/>
        <w:ind w:left="165" w:right="589"/>
        <w:jc w:val="both"/>
      </w:pPr>
      <w:r>
        <w:rPr/>
        <w:t>The program envisions that, children from marginalized communities access quality, inclusive education in government schools rooted in democratic values of secularism and equality. This is supported by Edu-Leaders—trained community volunteers from disadvantaged, literate backgrounds—who promote RTE adherence, support SMCs, and advocate for education within their communities and with authorities. Udaan engages with two capacitated SMC members from marginalized backgrounds from each school who uphold RTE norms and school development plans. Additionally, voluntary educators in each block conduct daily one-hour support classes for Class 1–5 students using activity-based methods and toolkits to strengthen foundational learning and bridge gaps in government </w:t>
      </w:r>
      <w:r>
        <w:rPr>
          <w:spacing w:val="-2"/>
        </w:rPr>
        <w:t>schooling.</w:t>
      </w:r>
    </w:p>
    <w:p>
      <w:pPr>
        <w:pStyle w:val="BodyText"/>
        <w:rPr>
          <w:sz w:val="20"/>
        </w:rPr>
      </w:pPr>
    </w:p>
    <w:p>
      <w:pPr>
        <w:pStyle w:val="BodyText"/>
        <w:spacing w:before="18"/>
        <w:rPr>
          <w:sz w:val="20"/>
        </w:rPr>
      </w:pPr>
    </w:p>
    <w:p>
      <w:pPr>
        <w:pStyle w:val="BodyText"/>
        <w:spacing w:after="0"/>
        <w:rPr>
          <w:sz w:val="20"/>
        </w:rPr>
        <w:sectPr>
          <w:pgSz w:w="11910" w:h="16840"/>
          <w:pgMar w:header="0" w:footer="1001" w:top="1420" w:bottom="1200" w:left="1275" w:right="850"/>
        </w:sectPr>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81"/>
      </w:pPr>
    </w:p>
    <w:p>
      <w:pPr>
        <w:pStyle w:val="BodyText"/>
        <w:ind w:left="165"/>
      </w:pPr>
      <w:r>
        <w:rPr/>
        <w:drawing>
          <wp:anchor distT="0" distB="0" distL="0" distR="0" allowOverlap="1" layoutInCell="1" locked="0" behindDoc="0" simplePos="0" relativeHeight="15729664">
            <wp:simplePos x="0" y="0"/>
            <wp:positionH relativeFrom="page">
              <wp:posOffset>914400</wp:posOffset>
            </wp:positionH>
            <wp:positionV relativeFrom="paragraph">
              <wp:posOffset>-1947379</wp:posOffset>
            </wp:positionV>
            <wp:extent cx="2952203" cy="1841499"/>
            <wp:effectExtent l="0" t="0" r="0" b="0"/>
            <wp:wrapNone/>
            <wp:docPr id="5" name="Image 5"/>
            <wp:cNvGraphicFramePr>
              <a:graphicFrameLocks/>
            </wp:cNvGraphicFramePr>
            <a:graphic>
              <a:graphicData uri="http://schemas.openxmlformats.org/drawingml/2006/picture">
                <pic:pic>
                  <pic:nvPicPr>
                    <pic:cNvPr id="5" name="Image 5"/>
                    <pic:cNvPicPr/>
                  </pic:nvPicPr>
                  <pic:blipFill>
                    <a:blip r:embed="rId7" cstate="print"/>
                    <a:stretch>
                      <a:fillRect/>
                    </a:stretch>
                  </pic:blipFill>
                  <pic:spPr>
                    <a:xfrm>
                      <a:off x="0" y="0"/>
                      <a:ext cx="2952203" cy="1841499"/>
                    </a:xfrm>
                    <a:prstGeom prst="rect">
                      <a:avLst/>
                    </a:prstGeom>
                  </pic:spPr>
                </pic:pic>
              </a:graphicData>
            </a:graphic>
          </wp:anchor>
        </w:drawing>
      </w:r>
      <w:r>
        <w:rPr/>
        <w:t>centric</w:t>
      </w:r>
      <w:r>
        <w:rPr>
          <w:spacing w:val="-3"/>
        </w:rPr>
        <w:t> </w:t>
      </w:r>
      <w:r>
        <w:rPr/>
        <w:t>learning,</w:t>
      </w:r>
      <w:r>
        <w:rPr>
          <w:spacing w:val="-2"/>
        </w:rPr>
        <w:t> </w:t>
      </w:r>
      <w:r>
        <w:rPr/>
        <w:t>and</w:t>
      </w:r>
      <w:r>
        <w:rPr>
          <w:spacing w:val="-3"/>
        </w:rPr>
        <w:t> </w:t>
      </w:r>
      <w:r>
        <w:rPr/>
        <w:t>community</w:t>
      </w:r>
      <w:r>
        <w:rPr>
          <w:spacing w:val="-2"/>
        </w:rPr>
        <w:t> engagement.</w:t>
      </w:r>
    </w:p>
    <w:p>
      <w:pPr>
        <w:pStyle w:val="BodyText"/>
        <w:spacing w:line="276" w:lineRule="auto" w:before="93"/>
        <w:ind w:left="141" w:right="588"/>
        <w:jc w:val="both"/>
      </w:pPr>
      <w:r>
        <w:rPr/>
        <w:br w:type="column"/>
      </w:r>
      <w:r>
        <w:rPr/>
        <w:t>In the reporting period, Udaan continued</w:t>
      </w:r>
      <w:r>
        <w:rPr>
          <w:spacing w:val="40"/>
        </w:rPr>
        <w:t> </w:t>
      </w:r>
      <w:r>
        <w:rPr/>
        <w:t>its transformative journey across 7 districts of Gujarat—Ahmedabad, Anand, Aravalli, Chhota Udepur, Kutch, Panchmahal, Sabarkantha, and Modasa.</w:t>
      </w:r>
      <w:r>
        <w:rPr>
          <w:spacing w:val="40"/>
        </w:rPr>
        <w:t> </w:t>
      </w:r>
      <w:r>
        <w:rPr/>
        <w:t>The program remained committed to improving educational outcomes for marginalized children through grassroots leadership, participatory</w:t>
      </w:r>
      <w:r>
        <w:rPr>
          <w:spacing w:val="40"/>
        </w:rPr>
        <w:t>  </w:t>
      </w:r>
      <w:r>
        <w:rPr/>
        <w:t>school</w:t>
      </w:r>
      <w:r>
        <w:rPr>
          <w:spacing w:val="40"/>
        </w:rPr>
        <w:t>  </w:t>
      </w:r>
      <w:r>
        <w:rPr/>
        <w:t>governance,</w:t>
      </w:r>
      <w:r>
        <w:rPr>
          <w:spacing w:val="41"/>
        </w:rPr>
        <w:t>  </w:t>
      </w:r>
      <w:r>
        <w:rPr>
          <w:spacing w:val="-2"/>
        </w:rPr>
        <w:t>child-</w:t>
      </w:r>
    </w:p>
    <w:p>
      <w:pPr>
        <w:pStyle w:val="BodyText"/>
        <w:spacing w:after="0" w:line="276" w:lineRule="auto"/>
        <w:jc w:val="both"/>
        <w:sectPr>
          <w:type w:val="continuous"/>
          <w:pgSz w:w="11910" w:h="16840"/>
          <w:pgMar w:header="0" w:footer="1001" w:top="1720" w:bottom="1200" w:left="1275" w:right="850"/>
          <w:cols w:num="2" w:equalWidth="0">
            <w:col w:w="4815" w:space="40"/>
            <w:col w:w="4930"/>
          </w:cols>
        </w:sectPr>
      </w:pPr>
    </w:p>
    <w:p>
      <w:pPr>
        <w:pStyle w:val="BodyText"/>
        <w:spacing w:line="276" w:lineRule="auto" w:before="198"/>
        <w:ind w:left="165" w:right="593"/>
        <w:jc w:val="both"/>
      </w:pPr>
      <w:r>
        <w:rPr/>
        <w:t>Over the reporting period, Udaan's efforts focused on increasing school attendance, preventing dropouts, enhancing the role of School Management Committees (SMCs), and fostering civic awareness among students, parents, and local leaders.</w:t>
      </w:r>
    </w:p>
    <w:p>
      <w:pPr>
        <w:pStyle w:val="BodyText"/>
        <w:spacing w:line="276" w:lineRule="auto" w:before="160"/>
        <w:ind w:left="165" w:right="590"/>
        <w:jc w:val="both"/>
      </w:pPr>
      <w:r>
        <w:rPr/>
        <w:t>The program made considerable strides in scale and outreach. With over 10,000 children engaged through various learning activities, school visits, and support centers, Udaan reached more than 5,000 community members through events, meetings, and advocacy efforts. More than 900 Edu-Leaders and SMC members were mobilized to work on school- related issues across over 100 schools. Around 30 support centers remained active in different</w:t>
      </w:r>
      <w:r>
        <w:rPr>
          <w:spacing w:val="35"/>
        </w:rPr>
        <w:t> </w:t>
      </w:r>
      <w:r>
        <w:rPr/>
        <w:t>districts,</w:t>
      </w:r>
      <w:r>
        <w:rPr>
          <w:spacing w:val="35"/>
        </w:rPr>
        <w:t> </w:t>
      </w:r>
      <w:r>
        <w:rPr/>
        <w:t>acting</w:t>
      </w:r>
      <w:r>
        <w:rPr>
          <w:spacing w:val="35"/>
        </w:rPr>
        <w:t> </w:t>
      </w:r>
      <w:r>
        <w:rPr/>
        <w:t>as</w:t>
      </w:r>
      <w:r>
        <w:rPr>
          <w:spacing w:val="35"/>
        </w:rPr>
        <w:t> </w:t>
      </w:r>
      <w:r>
        <w:rPr/>
        <w:t>local</w:t>
      </w:r>
      <w:r>
        <w:rPr>
          <w:spacing w:val="35"/>
        </w:rPr>
        <w:t> </w:t>
      </w:r>
      <w:r>
        <w:rPr/>
        <w:t>learning</w:t>
      </w:r>
      <w:r>
        <w:rPr>
          <w:spacing w:val="35"/>
        </w:rPr>
        <w:t> </w:t>
      </w:r>
      <w:r>
        <w:rPr/>
        <w:t>hubs</w:t>
      </w:r>
      <w:r>
        <w:rPr>
          <w:spacing w:val="35"/>
        </w:rPr>
        <w:t> </w:t>
      </w:r>
      <w:r>
        <w:rPr/>
        <w:t>that</w:t>
      </w:r>
      <w:r>
        <w:rPr>
          <w:spacing w:val="35"/>
        </w:rPr>
        <w:t> </w:t>
      </w:r>
      <w:r>
        <w:rPr/>
        <w:t>provided</w:t>
      </w:r>
      <w:r>
        <w:rPr>
          <w:spacing w:val="35"/>
        </w:rPr>
        <w:t> </w:t>
      </w:r>
      <w:r>
        <w:rPr/>
        <w:t>bridge</w:t>
      </w:r>
      <w:r>
        <w:rPr>
          <w:spacing w:val="35"/>
        </w:rPr>
        <w:t> </w:t>
      </w:r>
      <w:r>
        <w:rPr/>
        <w:t>education,</w:t>
      </w:r>
      <w:r>
        <w:rPr>
          <w:spacing w:val="35"/>
        </w:rPr>
        <w:t> </w:t>
      </w:r>
      <w:r>
        <w:rPr/>
        <w:t>emotional</w:t>
      </w:r>
    </w:p>
    <w:p>
      <w:pPr>
        <w:pStyle w:val="BodyText"/>
        <w:spacing w:line="276" w:lineRule="auto"/>
        <w:ind w:left="4725" w:right="589"/>
        <w:jc w:val="both"/>
      </w:pPr>
      <w:r>
        <w:rPr/>
        <w:drawing>
          <wp:anchor distT="0" distB="0" distL="0" distR="0" allowOverlap="1" layoutInCell="1" locked="0" behindDoc="0" simplePos="0" relativeHeight="15730176">
            <wp:simplePos x="0" y="0"/>
            <wp:positionH relativeFrom="page">
              <wp:posOffset>914400</wp:posOffset>
            </wp:positionH>
            <wp:positionV relativeFrom="paragraph">
              <wp:posOffset>285365</wp:posOffset>
            </wp:positionV>
            <wp:extent cx="2775978" cy="1250950"/>
            <wp:effectExtent l="0" t="0" r="0" b="0"/>
            <wp:wrapNone/>
            <wp:docPr id="6" name="Image 6"/>
            <wp:cNvGraphicFramePr>
              <a:graphicFrameLocks/>
            </wp:cNvGraphicFramePr>
            <a:graphic>
              <a:graphicData uri="http://schemas.openxmlformats.org/drawingml/2006/picture">
                <pic:pic>
                  <pic:nvPicPr>
                    <pic:cNvPr id="6" name="Image 6"/>
                    <pic:cNvPicPr/>
                  </pic:nvPicPr>
                  <pic:blipFill>
                    <a:blip r:embed="rId8" cstate="print"/>
                    <a:stretch>
                      <a:fillRect/>
                    </a:stretch>
                  </pic:blipFill>
                  <pic:spPr>
                    <a:xfrm>
                      <a:off x="0" y="0"/>
                      <a:ext cx="2775978" cy="1250950"/>
                    </a:xfrm>
                    <a:prstGeom prst="rect">
                      <a:avLst/>
                    </a:prstGeom>
                  </pic:spPr>
                </pic:pic>
              </a:graphicData>
            </a:graphic>
          </wp:anchor>
        </w:drawing>
      </w:r>
      <w:r>
        <w:rPr/>
        <w:t>support,</w:t>
      </w:r>
      <w:r>
        <w:rPr>
          <w:spacing w:val="-2"/>
        </w:rPr>
        <w:t> </w:t>
      </w:r>
      <w:r>
        <w:rPr/>
        <w:t>and</w:t>
      </w:r>
      <w:r>
        <w:rPr>
          <w:spacing w:val="-2"/>
        </w:rPr>
        <w:t> </w:t>
      </w:r>
      <w:r>
        <w:rPr/>
        <w:t>a</w:t>
      </w:r>
      <w:r>
        <w:rPr>
          <w:spacing w:val="-2"/>
        </w:rPr>
        <w:t> </w:t>
      </w:r>
      <w:r>
        <w:rPr/>
        <w:t>platform</w:t>
      </w:r>
      <w:r>
        <w:rPr>
          <w:spacing w:val="-2"/>
        </w:rPr>
        <w:t> </w:t>
      </w:r>
      <w:r>
        <w:rPr/>
        <w:t>for</w:t>
      </w:r>
      <w:r>
        <w:rPr>
          <w:spacing w:val="-2"/>
        </w:rPr>
        <w:t> </w:t>
      </w:r>
      <w:r>
        <w:rPr/>
        <w:t>children</w:t>
      </w:r>
      <w:r>
        <w:rPr>
          <w:spacing w:val="-2"/>
        </w:rPr>
        <w:t> </w:t>
      </w:r>
      <w:r>
        <w:rPr/>
        <w:t>to</w:t>
      </w:r>
      <w:r>
        <w:rPr>
          <w:spacing w:val="-2"/>
        </w:rPr>
        <w:t> </w:t>
      </w:r>
      <w:r>
        <w:rPr/>
        <w:t>explore arts, music, and values-based learning.</w:t>
      </w:r>
    </w:p>
    <w:p>
      <w:pPr>
        <w:pStyle w:val="BodyText"/>
      </w:pPr>
    </w:p>
    <w:p>
      <w:pPr>
        <w:pStyle w:val="BodyText"/>
        <w:spacing w:before="105"/>
      </w:pPr>
    </w:p>
    <w:p>
      <w:pPr>
        <w:pStyle w:val="BodyText"/>
        <w:spacing w:line="276" w:lineRule="auto"/>
        <w:ind w:left="4725" w:right="588"/>
        <w:jc w:val="both"/>
      </w:pPr>
      <w:r>
        <w:rPr/>
        <w:t>One of the core objectives of Udaan during this period was to ensure consistent attendance and prevent dropouts, especially among first-generation learners and migrant children.</w:t>
      </w:r>
      <w:r>
        <w:rPr>
          <w:spacing w:val="41"/>
        </w:rPr>
        <w:t>  </w:t>
      </w:r>
      <w:r>
        <w:rPr/>
        <w:t>Through</w:t>
      </w:r>
      <w:r>
        <w:rPr>
          <w:spacing w:val="42"/>
        </w:rPr>
        <w:t>  </w:t>
      </w:r>
      <w:r>
        <w:rPr/>
        <w:t>home</w:t>
      </w:r>
      <w:r>
        <w:rPr>
          <w:spacing w:val="41"/>
        </w:rPr>
        <w:t>  </w:t>
      </w:r>
      <w:r>
        <w:rPr/>
        <w:t>visits,</w:t>
      </w:r>
      <w:r>
        <w:rPr>
          <w:spacing w:val="42"/>
        </w:rPr>
        <w:t>  </w:t>
      </w:r>
      <w:r>
        <w:rPr>
          <w:spacing w:val="-2"/>
        </w:rPr>
        <w:t>transport</w:t>
      </w:r>
    </w:p>
    <w:p>
      <w:pPr>
        <w:pStyle w:val="BodyText"/>
        <w:ind w:left="165"/>
        <w:jc w:val="both"/>
      </w:pPr>
      <w:r>
        <w:rPr/>
        <w:t>arrangements,</w:t>
      </w:r>
      <w:r>
        <w:rPr>
          <w:spacing w:val="48"/>
        </w:rPr>
        <w:t> </w:t>
      </w:r>
      <w:r>
        <w:rPr/>
        <w:t>peer</w:t>
      </w:r>
      <w:r>
        <w:rPr>
          <w:spacing w:val="51"/>
        </w:rPr>
        <w:t> </w:t>
      </w:r>
      <w:r>
        <w:rPr/>
        <w:t>group</w:t>
      </w:r>
      <w:r>
        <w:rPr>
          <w:spacing w:val="50"/>
        </w:rPr>
        <w:t> </w:t>
      </w:r>
      <w:r>
        <w:rPr/>
        <w:t>mentoring,</w:t>
      </w:r>
      <w:r>
        <w:rPr>
          <w:spacing w:val="51"/>
        </w:rPr>
        <w:t> </w:t>
      </w:r>
      <w:r>
        <w:rPr/>
        <w:t>and</w:t>
      </w:r>
      <w:r>
        <w:rPr>
          <w:spacing w:val="51"/>
        </w:rPr>
        <w:t> </w:t>
      </w:r>
      <w:r>
        <w:rPr/>
        <w:t>community</w:t>
      </w:r>
      <w:r>
        <w:rPr>
          <w:spacing w:val="50"/>
        </w:rPr>
        <w:t> </w:t>
      </w:r>
      <w:r>
        <w:rPr/>
        <w:t>dialogue,</w:t>
      </w:r>
      <w:r>
        <w:rPr>
          <w:spacing w:val="51"/>
        </w:rPr>
        <w:t> </w:t>
      </w:r>
      <w:r>
        <w:rPr/>
        <w:t>many</w:t>
      </w:r>
      <w:r>
        <w:rPr>
          <w:spacing w:val="50"/>
        </w:rPr>
        <w:t> </w:t>
      </w:r>
      <w:r>
        <w:rPr/>
        <w:t>children</w:t>
      </w:r>
      <w:r>
        <w:rPr>
          <w:spacing w:val="51"/>
        </w:rPr>
        <w:t> </w:t>
      </w:r>
      <w:r>
        <w:rPr/>
        <w:t>who</w:t>
      </w:r>
      <w:r>
        <w:rPr>
          <w:spacing w:val="51"/>
        </w:rPr>
        <w:t> </w:t>
      </w:r>
      <w:r>
        <w:rPr>
          <w:spacing w:val="-5"/>
        </w:rPr>
        <w:t>had</w:t>
      </w:r>
    </w:p>
    <w:p>
      <w:pPr>
        <w:pStyle w:val="BodyText"/>
        <w:spacing w:after="0"/>
        <w:jc w:val="both"/>
        <w:sectPr>
          <w:type w:val="continuous"/>
          <w:pgSz w:w="11910" w:h="16840"/>
          <w:pgMar w:header="0" w:footer="1001" w:top="1720" w:bottom="1200" w:left="1275" w:right="850"/>
        </w:sectPr>
      </w:pPr>
    </w:p>
    <w:p>
      <w:pPr>
        <w:pStyle w:val="BodyText"/>
        <w:spacing w:line="276" w:lineRule="auto" w:before="82"/>
        <w:ind w:left="165" w:right="590"/>
        <w:jc w:val="both"/>
      </w:pPr>
      <w:r>
        <w:rPr/>
        <w:t>dropped out or were irregular in school began attending regularly. The support centers in Petlad, Ghoghamba, and Halol emerged as best-practice models, offering consistent academic and emotional support to children. Specific systemic issues, such as lack of classrooms or absentee teachers, were taken up by Edu-Leaders and SMCs through official channels, including block and district-level education offices.</w:t>
      </w:r>
    </w:p>
    <w:p>
      <w:pPr>
        <w:pStyle w:val="BodyText"/>
        <w:tabs>
          <w:tab w:pos="8454" w:val="left" w:leader="none"/>
        </w:tabs>
        <w:spacing w:line="276" w:lineRule="auto" w:before="160"/>
        <w:ind w:left="5834" w:right="588"/>
        <w:jc w:val="both"/>
      </w:pPr>
      <w:r>
        <w:rPr/>
        <w:drawing>
          <wp:anchor distT="0" distB="0" distL="0" distR="0" allowOverlap="1" layoutInCell="1" locked="0" behindDoc="0" simplePos="0" relativeHeight="15730688">
            <wp:simplePos x="0" y="0"/>
            <wp:positionH relativeFrom="page">
              <wp:posOffset>838200</wp:posOffset>
            </wp:positionH>
            <wp:positionV relativeFrom="paragraph">
              <wp:posOffset>253995</wp:posOffset>
            </wp:positionV>
            <wp:extent cx="3578860" cy="2273300"/>
            <wp:effectExtent l="0" t="0" r="0" b="0"/>
            <wp:wrapNone/>
            <wp:docPr id="7" name="Image 7"/>
            <wp:cNvGraphicFramePr>
              <a:graphicFrameLocks/>
            </wp:cNvGraphicFramePr>
            <a:graphic>
              <a:graphicData uri="http://schemas.openxmlformats.org/drawingml/2006/picture">
                <pic:pic>
                  <pic:nvPicPr>
                    <pic:cNvPr id="7" name="Image 7"/>
                    <pic:cNvPicPr/>
                  </pic:nvPicPr>
                  <pic:blipFill>
                    <a:blip r:embed="rId9" cstate="print"/>
                    <a:stretch>
                      <a:fillRect/>
                    </a:stretch>
                  </pic:blipFill>
                  <pic:spPr>
                    <a:xfrm>
                      <a:off x="0" y="0"/>
                      <a:ext cx="3578860" cy="2273300"/>
                    </a:xfrm>
                    <a:prstGeom prst="rect">
                      <a:avLst/>
                    </a:prstGeom>
                  </pic:spPr>
                </pic:pic>
              </a:graphicData>
            </a:graphic>
          </wp:anchor>
        </w:drawing>
      </w:r>
      <w:r>
        <w:rPr/>
        <w:t>The year also saw an enhanced focus on building local leadership. Edu-Leaders and SMC </w:t>
      </w:r>
      <w:r>
        <w:rPr/>
        <w:t>members were trained on the Right to Education (RTE) Act, filing Right</w:t>
      </w:r>
      <w:r>
        <w:rPr>
          <w:spacing w:val="40"/>
        </w:rPr>
        <w:t> </w:t>
      </w:r>
      <w:r>
        <w:rPr/>
        <w:t>to Information (RTI) applications, and tracking the implementation</w:t>
      </w:r>
      <w:r>
        <w:rPr>
          <w:spacing w:val="80"/>
        </w:rPr>
        <w:t> </w:t>
      </w:r>
      <w:r>
        <w:rPr/>
        <w:t>of schemes like the National Means-Cum-Merit Scholarship (NMMS). In total, 42 RTIs were filed to address gaps in school </w:t>
      </w:r>
      <w:r>
        <w:rPr>
          <w:spacing w:val="-2"/>
        </w:rPr>
        <w:t>infrastructure,</w:t>
      </w:r>
      <w:r>
        <w:rPr/>
        <w:tab/>
      </w:r>
      <w:r>
        <w:rPr>
          <w:spacing w:val="-2"/>
        </w:rPr>
        <w:t>teacher </w:t>
      </w:r>
      <w:r>
        <w:rPr/>
        <w:t>deployment,</w:t>
      </w:r>
      <w:r>
        <w:rPr>
          <w:spacing w:val="73"/>
          <w:w w:val="150"/>
        </w:rPr>
        <w:t>   </w:t>
      </w:r>
      <w:r>
        <w:rPr/>
        <w:t>and</w:t>
      </w:r>
      <w:r>
        <w:rPr>
          <w:spacing w:val="74"/>
          <w:w w:val="150"/>
        </w:rPr>
        <w:t>   </w:t>
      </w:r>
      <w:r>
        <w:rPr>
          <w:spacing w:val="-2"/>
        </w:rPr>
        <w:t>learning</w:t>
      </w:r>
    </w:p>
    <w:p>
      <w:pPr>
        <w:pStyle w:val="BodyText"/>
        <w:spacing w:line="276" w:lineRule="auto"/>
        <w:ind w:left="165" w:right="589"/>
        <w:jc w:val="both"/>
      </w:pPr>
      <w:r>
        <w:rPr/>
        <w:t>materials. Participatory planning exercises in Gram Sabhas helped community members secure classroom construction approvals and raise demands for teacher appointments. The consistent engagement with local governance mechanisms created a ripple effect, with schools</w:t>
      </w:r>
      <w:r>
        <w:rPr>
          <w:spacing w:val="-1"/>
        </w:rPr>
        <w:t> </w:t>
      </w:r>
      <w:r>
        <w:rPr/>
        <w:t>receiving</w:t>
      </w:r>
      <w:r>
        <w:rPr>
          <w:spacing w:val="-1"/>
        </w:rPr>
        <w:t> </w:t>
      </w:r>
      <w:r>
        <w:rPr/>
        <w:t>better</w:t>
      </w:r>
      <w:r>
        <w:rPr>
          <w:spacing w:val="-1"/>
        </w:rPr>
        <w:t> </w:t>
      </w:r>
      <w:r>
        <w:rPr/>
        <w:t>monitoring</w:t>
      </w:r>
      <w:r>
        <w:rPr>
          <w:spacing w:val="-1"/>
        </w:rPr>
        <w:t> </w:t>
      </w:r>
      <w:r>
        <w:rPr/>
        <w:t>and</w:t>
      </w:r>
      <w:r>
        <w:rPr>
          <w:spacing w:val="-1"/>
        </w:rPr>
        <w:t> </w:t>
      </w:r>
      <w:r>
        <w:rPr/>
        <w:t>support</w:t>
      </w:r>
      <w:r>
        <w:rPr>
          <w:spacing w:val="-1"/>
        </w:rPr>
        <w:t> </w:t>
      </w:r>
      <w:r>
        <w:rPr/>
        <w:t>from</w:t>
      </w:r>
      <w:r>
        <w:rPr>
          <w:spacing w:val="-1"/>
        </w:rPr>
        <w:t> </w:t>
      </w:r>
      <w:r>
        <w:rPr/>
        <w:t>Cluster</w:t>
      </w:r>
      <w:r>
        <w:rPr>
          <w:spacing w:val="-1"/>
        </w:rPr>
        <w:t> </w:t>
      </w:r>
      <w:r>
        <w:rPr/>
        <w:t>Resource</w:t>
      </w:r>
      <w:r>
        <w:rPr>
          <w:spacing w:val="-1"/>
        </w:rPr>
        <w:t> </w:t>
      </w:r>
      <w:r>
        <w:rPr/>
        <w:t>Coordinators</w:t>
      </w:r>
      <w:r>
        <w:rPr>
          <w:spacing w:val="-1"/>
        </w:rPr>
        <w:t> </w:t>
      </w:r>
      <w:r>
        <w:rPr/>
        <w:t>(CRCs) and Block Resource Coordinators (BRCs).</w:t>
      </w:r>
    </w:p>
    <w:p>
      <w:pPr>
        <w:pStyle w:val="BodyText"/>
        <w:spacing w:line="276" w:lineRule="auto" w:before="160"/>
        <w:ind w:left="165" w:right="590"/>
        <w:jc w:val="both"/>
      </w:pPr>
      <w:r>
        <w:rPr/>
        <w:t>In line with Udaan's vision for child-centered education, the program organized a wide range of creative learning activities. Republic Day and Constitution Day events introduced children to constitutional values through songs, performances, and group discussions. Storytelling sessions, logical games, art activities, and newspaper reading sessions cultivated curiosity and critical thinking. Several support centers integrated harmonium classes, dramatizations, and value-based education, helping children build confidence and express themselves in safe spaces. These joyful learning models highlighted the importance of emotional and</w:t>
      </w:r>
      <w:r>
        <w:rPr>
          <w:spacing w:val="40"/>
        </w:rPr>
        <w:t> </w:t>
      </w:r>
      <w:r>
        <w:rPr/>
        <w:t>social development alongside academic progress.</w:t>
      </w:r>
    </w:p>
    <w:p>
      <w:pPr>
        <w:pStyle w:val="BodyText"/>
        <w:spacing w:line="276" w:lineRule="auto" w:before="160"/>
        <w:ind w:left="165" w:right="590"/>
        <w:jc w:val="both"/>
      </w:pPr>
      <w:r>
        <w:rPr/>
        <w:t>In December 2024, an external evaluation of Udaan was conducted by Ms. Sunetra Deshpande with the guidance of Mr. Binoy Acharya.</w:t>
      </w:r>
      <w:r>
        <w:rPr>
          <w:spacing w:val="40"/>
        </w:rPr>
        <w:t> </w:t>
      </w:r>
      <w:r>
        <w:rPr/>
        <w:t>The evaluation focused on sustainability, scalability, and integration of innovation and learning of Udaan’s community- led School Governance model into government systems.</w:t>
      </w:r>
      <w:r>
        <w:rPr>
          <w:spacing w:val="40"/>
        </w:rPr>
        <w:t> </w:t>
      </w:r>
      <w:r>
        <w:rPr/>
        <w:t>Preliminary insights emphasized the replicability of the Udaan model, especially its community-based governance and participatory learning frameworks. In the coming year, these insights will guide Udaan’s next phase of planning and capacity-building, including anchoring community educators, developing digital learning tools, and expanding partnerships with Civil Society </w:t>
      </w:r>
      <w:r>
        <w:rPr>
          <w:spacing w:val="-2"/>
        </w:rPr>
        <w:t>Organizations.</w:t>
      </w:r>
    </w:p>
    <w:p>
      <w:pPr>
        <w:pStyle w:val="Heading2"/>
        <w:spacing w:before="160"/>
      </w:pPr>
      <w:r>
        <w:rPr/>
        <w:t>Stories</w:t>
      </w:r>
      <w:r>
        <w:rPr>
          <w:spacing w:val="-4"/>
        </w:rPr>
        <w:t> </w:t>
      </w:r>
      <w:r>
        <w:rPr/>
        <w:t>from</w:t>
      </w:r>
      <w:r>
        <w:rPr>
          <w:spacing w:val="-3"/>
        </w:rPr>
        <w:t> </w:t>
      </w:r>
      <w:r>
        <w:rPr/>
        <w:t>the</w:t>
      </w:r>
      <w:r>
        <w:rPr>
          <w:spacing w:val="-3"/>
        </w:rPr>
        <w:t> </w:t>
      </w:r>
      <w:r>
        <w:rPr>
          <w:spacing w:val="-2"/>
        </w:rPr>
        <w:t>Field</w:t>
      </w:r>
    </w:p>
    <w:p>
      <w:pPr>
        <w:pStyle w:val="BodyText"/>
        <w:spacing w:line="276" w:lineRule="auto" w:before="198"/>
        <w:ind w:left="165" w:right="592"/>
        <w:jc w:val="both"/>
      </w:pPr>
      <w:r>
        <w:rPr>
          <w:b/>
        </w:rPr>
        <w:t>Addressing Drop-outs: </w:t>
      </w:r>
      <w:r>
        <w:rPr/>
        <w:t>A visit was conducted to discuss support for disabled individuals, widowed women, and to ensure quality education. During the visit, several key issues were addressed: Lakshmi Ben Raju Bhai Parmar, a girl who had dropped out due to financial constraints,</w:t>
      </w:r>
      <w:r>
        <w:rPr>
          <w:spacing w:val="40"/>
        </w:rPr>
        <w:t> </w:t>
      </w:r>
      <w:r>
        <w:rPr/>
        <w:t>was</w:t>
      </w:r>
      <w:r>
        <w:rPr>
          <w:spacing w:val="40"/>
        </w:rPr>
        <w:t> </w:t>
      </w:r>
      <w:r>
        <w:rPr/>
        <w:t>identified,</w:t>
      </w:r>
      <w:r>
        <w:rPr>
          <w:spacing w:val="40"/>
        </w:rPr>
        <w:t> </w:t>
      </w:r>
      <w:r>
        <w:rPr/>
        <w:t>and</w:t>
      </w:r>
      <w:r>
        <w:rPr>
          <w:spacing w:val="40"/>
        </w:rPr>
        <w:t> </w:t>
      </w:r>
      <w:r>
        <w:rPr/>
        <w:t>information</w:t>
      </w:r>
      <w:r>
        <w:rPr>
          <w:spacing w:val="40"/>
        </w:rPr>
        <w:t> </w:t>
      </w:r>
      <w:r>
        <w:rPr/>
        <w:t>about</w:t>
      </w:r>
      <w:r>
        <w:rPr>
          <w:spacing w:val="40"/>
        </w:rPr>
        <w:t> </w:t>
      </w:r>
      <w:r>
        <w:rPr/>
        <w:t>the</w:t>
      </w:r>
      <w:r>
        <w:rPr>
          <w:spacing w:val="40"/>
        </w:rPr>
        <w:t> </w:t>
      </w:r>
      <w:r>
        <w:rPr/>
        <w:t>Laxmi</w:t>
      </w:r>
      <w:r>
        <w:rPr>
          <w:spacing w:val="40"/>
        </w:rPr>
        <w:t> </w:t>
      </w:r>
      <w:r>
        <w:rPr/>
        <w:t>Yojana</w:t>
      </w:r>
      <w:r>
        <w:rPr>
          <w:spacing w:val="40"/>
        </w:rPr>
        <w:t> </w:t>
      </w:r>
      <w:r>
        <w:rPr/>
        <w:t>financial</w:t>
      </w:r>
      <w:r>
        <w:rPr>
          <w:spacing w:val="40"/>
        </w:rPr>
        <w:t> </w:t>
      </w:r>
      <w:r>
        <w:rPr/>
        <w:t>assistance</w:t>
      </w:r>
    </w:p>
    <w:p>
      <w:pPr>
        <w:pStyle w:val="BodyText"/>
        <w:spacing w:after="0" w:line="276" w:lineRule="auto"/>
        <w:jc w:val="both"/>
        <w:sectPr>
          <w:pgSz w:w="11910" w:h="16840"/>
          <w:pgMar w:header="0" w:footer="1001" w:top="1340" w:bottom="1200" w:left="1275" w:right="850"/>
        </w:sectPr>
      </w:pPr>
    </w:p>
    <w:p>
      <w:pPr>
        <w:pStyle w:val="BodyText"/>
        <w:spacing w:line="276" w:lineRule="auto" w:before="82"/>
        <w:ind w:left="165" w:right="590"/>
        <w:jc w:val="both"/>
      </w:pPr>
      <w:r>
        <w:rPr/>
        <w:t>scheme was provided to help her re-enroll in school. Two children from private schools, Abarar Hussain (Grade 8) and Arfat Hussain (Grade 6), were unable to obtain their transfer certificates</w:t>
      </w:r>
      <w:r>
        <w:rPr>
          <w:spacing w:val="-3"/>
        </w:rPr>
        <w:t> </w:t>
      </w:r>
      <w:r>
        <w:rPr/>
        <w:t>due</w:t>
      </w:r>
      <w:r>
        <w:rPr>
          <w:spacing w:val="-3"/>
        </w:rPr>
        <w:t> </w:t>
      </w:r>
      <w:r>
        <w:rPr/>
        <w:t>to</w:t>
      </w:r>
      <w:r>
        <w:rPr>
          <w:spacing w:val="-3"/>
        </w:rPr>
        <w:t> </w:t>
      </w:r>
      <w:r>
        <w:rPr/>
        <w:t>financial</w:t>
      </w:r>
      <w:r>
        <w:rPr>
          <w:spacing w:val="-3"/>
        </w:rPr>
        <w:t> </w:t>
      </w:r>
      <w:r>
        <w:rPr/>
        <w:t>difficulties.</w:t>
      </w:r>
      <w:r>
        <w:rPr>
          <w:spacing w:val="-3"/>
        </w:rPr>
        <w:t> </w:t>
      </w:r>
      <w:r>
        <w:rPr/>
        <w:t>The</w:t>
      </w:r>
      <w:r>
        <w:rPr>
          <w:spacing w:val="-3"/>
        </w:rPr>
        <w:t> </w:t>
      </w:r>
      <w:r>
        <w:rPr/>
        <w:t>Taluka</w:t>
      </w:r>
      <w:r>
        <w:rPr>
          <w:spacing w:val="-3"/>
        </w:rPr>
        <w:t> </w:t>
      </w:r>
      <w:r>
        <w:rPr/>
        <w:t>Education</w:t>
      </w:r>
      <w:r>
        <w:rPr>
          <w:spacing w:val="-3"/>
        </w:rPr>
        <w:t> </w:t>
      </w:r>
      <w:r>
        <w:rPr/>
        <w:t>Officer</w:t>
      </w:r>
      <w:r>
        <w:rPr>
          <w:spacing w:val="-3"/>
        </w:rPr>
        <w:t> </w:t>
      </w:r>
      <w:r>
        <w:rPr/>
        <w:t>(TPEO),</w:t>
      </w:r>
      <w:r>
        <w:rPr>
          <w:spacing w:val="-3"/>
        </w:rPr>
        <w:t> </w:t>
      </w:r>
      <w:r>
        <w:rPr/>
        <w:t>along</w:t>
      </w:r>
      <w:r>
        <w:rPr>
          <w:spacing w:val="-3"/>
        </w:rPr>
        <w:t> </w:t>
      </w:r>
      <w:r>
        <w:rPr/>
        <w:t>with</w:t>
      </w:r>
      <w:r>
        <w:rPr>
          <w:spacing w:val="-3"/>
        </w:rPr>
        <w:t> </w:t>
      </w:r>
      <w:r>
        <w:rPr/>
        <w:t>local education leader Anwar Bhai Abdali, will facilitate their official enrollment. Additionally, two girls, Jiyabanu and Joyabanu Javedsha Diwan, who are eligible for the Guardian Assistance Scheme after their father’s death and their mother’s remarriage, are currently living with their uncle. Necessary documents were collected, and discussions were held with the Child Protection Unit to ensure they receive proper support. Follow-up actions will be taken to address these issues and provide the necessary support and education for the children.</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8"/>
        <w:rPr>
          <w:sz w:val="20"/>
        </w:rPr>
      </w:pPr>
      <w:r>
        <w:rPr>
          <w:sz w:val="20"/>
        </w:rPr>
        <mc:AlternateContent>
          <mc:Choice Requires="wps">
            <w:drawing>
              <wp:anchor distT="0" distB="0" distL="0" distR="0" allowOverlap="1" layoutInCell="1" locked="0" behindDoc="1" simplePos="0" relativeHeight="487590400">
                <wp:simplePos x="0" y="0"/>
                <wp:positionH relativeFrom="page">
                  <wp:posOffset>896400</wp:posOffset>
                </wp:positionH>
                <wp:positionV relativeFrom="paragraph">
                  <wp:posOffset>230422</wp:posOffset>
                </wp:positionV>
                <wp:extent cx="5767705" cy="347345"/>
                <wp:effectExtent l="0" t="0" r="0" b="0"/>
                <wp:wrapTopAndBottom/>
                <wp:docPr id="8" name="Textbox 8"/>
                <wp:cNvGraphicFramePr>
                  <a:graphicFrameLocks/>
                </wp:cNvGraphicFramePr>
                <a:graphic>
                  <a:graphicData uri="http://schemas.microsoft.com/office/word/2010/wordprocessingShape">
                    <wps:wsp>
                      <wps:cNvPr id="8" name="Textbox 8"/>
                      <wps:cNvSpPr txBox="1"/>
                      <wps:spPr>
                        <a:xfrm>
                          <a:off x="0" y="0"/>
                          <a:ext cx="5767705" cy="347345"/>
                        </a:xfrm>
                        <a:prstGeom prst="rect">
                          <a:avLst/>
                        </a:prstGeom>
                        <a:solidFill>
                          <a:srgbClr val="BCD6ED"/>
                        </a:solidFill>
                      </wps:spPr>
                      <wps:txbx>
                        <w:txbxContent>
                          <w:p>
                            <w:pPr>
                              <w:tabs>
                                <w:tab w:pos="1525" w:val="left" w:leader="none"/>
                                <w:tab w:pos="1972" w:val="left" w:leader="none"/>
                                <w:tab w:pos="2528" w:val="left" w:leader="none"/>
                                <w:tab w:pos="3475" w:val="left" w:leader="none"/>
                                <w:tab w:pos="4459" w:val="left" w:leader="none"/>
                                <w:tab w:pos="5528" w:val="left" w:leader="none"/>
                                <w:tab w:pos="6915" w:val="left" w:leader="none"/>
                                <w:tab w:pos="8570" w:val="left" w:leader="none"/>
                              </w:tabs>
                              <w:spacing w:line="259" w:lineRule="auto" w:before="0"/>
                              <w:ind w:left="28" w:right="33" w:firstLine="0"/>
                              <w:jc w:val="left"/>
                              <w:rPr>
                                <w:b/>
                                <w:color w:val="000000"/>
                                <w:sz w:val="22"/>
                              </w:rPr>
                            </w:pPr>
                            <w:r>
                              <w:rPr>
                                <w:b/>
                                <w:color w:val="000000"/>
                                <w:spacing w:val="-2"/>
                                <w:sz w:val="22"/>
                              </w:rPr>
                              <w:t>OBJECTIVE</w:t>
                            </w:r>
                            <w:r>
                              <w:rPr>
                                <w:b/>
                                <w:color w:val="000000"/>
                                <w:sz w:val="22"/>
                              </w:rPr>
                              <w:tab/>
                            </w:r>
                            <w:r>
                              <w:rPr>
                                <w:b/>
                                <w:color w:val="000000"/>
                                <w:spacing w:val="-6"/>
                                <w:sz w:val="22"/>
                              </w:rPr>
                              <w:t>2:</w:t>
                            </w:r>
                            <w:r>
                              <w:rPr>
                                <w:b/>
                                <w:color w:val="000000"/>
                                <w:sz w:val="22"/>
                              </w:rPr>
                              <w:tab/>
                            </w:r>
                            <w:r>
                              <w:rPr>
                                <w:b/>
                                <w:color w:val="000000"/>
                                <w:spacing w:val="-6"/>
                                <w:sz w:val="22"/>
                              </w:rPr>
                              <w:t>TO</w:t>
                            </w:r>
                            <w:r>
                              <w:rPr>
                                <w:b/>
                                <w:color w:val="000000"/>
                                <w:sz w:val="22"/>
                              </w:rPr>
                              <w:tab/>
                            </w:r>
                            <w:r>
                              <w:rPr>
                                <w:b/>
                                <w:color w:val="000000"/>
                                <w:spacing w:val="-2"/>
                                <w:sz w:val="22"/>
                              </w:rPr>
                              <w:t>GUIDE</w:t>
                            </w:r>
                            <w:r>
                              <w:rPr>
                                <w:b/>
                                <w:color w:val="000000"/>
                                <w:sz w:val="22"/>
                              </w:rPr>
                              <w:tab/>
                            </w:r>
                            <w:r>
                              <w:rPr>
                                <w:b/>
                                <w:color w:val="000000"/>
                                <w:spacing w:val="-2"/>
                                <w:sz w:val="22"/>
                              </w:rPr>
                              <w:t>TRAIN,</w:t>
                            </w:r>
                            <w:r>
                              <w:rPr>
                                <w:b/>
                                <w:color w:val="000000"/>
                                <w:sz w:val="22"/>
                              </w:rPr>
                              <w:tab/>
                            </w:r>
                            <w:r>
                              <w:rPr>
                                <w:b/>
                                <w:color w:val="000000"/>
                                <w:spacing w:val="-2"/>
                                <w:sz w:val="22"/>
                              </w:rPr>
                              <w:t>TEACH,</w:t>
                            </w:r>
                            <w:r>
                              <w:rPr>
                                <w:b/>
                                <w:color w:val="000000"/>
                                <w:sz w:val="22"/>
                              </w:rPr>
                              <w:tab/>
                            </w:r>
                            <w:r>
                              <w:rPr>
                                <w:b/>
                                <w:color w:val="000000"/>
                                <w:spacing w:val="-2"/>
                                <w:sz w:val="22"/>
                              </w:rPr>
                              <w:t>SENSITIZE</w:t>
                            </w:r>
                            <w:r>
                              <w:rPr>
                                <w:b/>
                                <w:color w:val="000000"/>
                                <w:sz w:val="22"/>
                              </w:rPr>
                              <w:tab/>
                            </w:r>
                            <w:r>
                              <w:rPr>
                                <w:b/>
                                <w:color w:val="000000"/>
                                <w:spacing w:val="-2"/>
                                <w:sz w:val="22"/>
                              </w:rPr>
                              <w:t>INDIVIDUALS</w:t>
                            </w:r>
                            <w:r>
                              <w:rPr>
                                <w:b/>
                                <w:color w:val="000000"/>
                                <w:sz w:val="22"/>
                              </w:rPr>
                              <w:tab/>
                            </w:r>
                            <w:r>
                              <w:rPr>
                                <w:b/>
                                <w:color w:val="000000"/>
                                <w:spacing w:val="-4"/>
                                <w:sz w:val="22"/>
                              </w:rPr>
                              <w:t>AND </w:t>
                            </w:r>
                            <w:r>
                              <w:rPr>
                                <w:b/>
                                <w:color w:val="000000"/>
                                <w:sz w:val="22"/>
                              </w:rPr>
                              <w:t>COMMUNITIES TOWARDS THEIR SOCIO-ECONOMIC DEVELOPMENT</w:t>
                            </w:r>
                          </w:p>
                        </w:txbxContent>
                      </wps:txbx>
                      <wps:bodyPr wrap="square" lIns="0" tIns="0" rIns="0" bIns="0" rtlCol="0">
                        <a:noAutofit/>
                      </wps:bodyPr>
                    </wps:wsp>
                  </a:graphicData>
                </a:graphic>
              </wp:anchor>
            </w:drawing>
          </mc:Choice>
          <mc:Fallback>
            <w:pict>
              <v:shape style="position:absolute;margin-left:70.582703pt;margin-top:18.143501pt;width:454.15pt;height:27.35pt;mso-position-horizontal-relative:page;mso-position-vertical-relative:paragraph;z-index:-15726080;mso-wrap-distance-left:0;mso-wrap-distance-right:0" type="#_x0000_t202" id="docshape4" filled="true" fillcolor="#bcd6ed" stroked="false">
                <v:textbox inset="0,0,0,0">
                  <w:txbxContent>
                    <w:p>
                      <w:pPr>
                        <w:tabs>
                          <w:tab w:pos="1525" w:val="left" w:leader="none"/>
                          <w:tab w:pos="1972" w:val="left" w:leader="none"/>
                          <w:tab w:pos="2528" w:val="left" w:leader="none"/>
                          <w:tab w:pos="3475" w:val="left" w:leader="none"/>
                          <w:tab w:pos="4459" w:val="left" w:leader="none"/>
                          <w:tab w:pos="5528" w:val="left" w:leader="none"/>
                          <w:tab w:pos="6915" w:val="left" w:leader="none"/>
                          <w:tab w:pos="8570" w:val="left" w:leader="none"/>
                        </w:tabs>
                        <w:spacing w:line="259" w:lineRule="auto" w:before="0"/>
                        <w:ind w:left="28" w:right="33" w:firstLine="0"/>
                        <w:jc w:val="left"/>
                        <w:rPr>
                          <w:b/>
                          <w:color w:val="000000"/>
                          <w:sz w:val="22"/>
                        </w:rPr>
                      </w:pPr>
                      <w:r>
                        <w:rPr>
                          <w:b/>
                          <w:color w:val="000000"/>
                          <w:spacing w:val="-2"/>
                          <w:sz w:val="22"/>
                        </w:rPr>
                        <w:t>OBJECTIVE</w:t>
                      </w:r>
                      <w:r>
                        <w:rPr>
                          <w:b/>
                          <w:color w:val="000000"/>
                          <w:sz w:val="22"/>
                        </w:rPr>
                        <w:tab/>
                      </w:r>
                      <w:r>
                        <w:rPr>
                          <w:b/>
                          <w:color w:val="000000"/>
                          <w:spacing w:val="-6"/>
                          <w:sz w:val="22"/>
                        </w:rPr>
                        <w:t>2:</w:t>
                      </w:r>
                      <w:r>
                        <w:rPr>
                          <w:b/>
                          <w:color w:val="000000"/>
                          <w:sz w:val="22"/>
                        </w:rPr>
                        <w:tab/>
                      </w:r>
                      <w:r>
                        <w:rPr>
                          <w:b/>
                          <w:color w:val="000000"/>
                          <w:spacing w:val="-6"/>
                          <w:sz w:val="22"/>
                        </w:rPr>
                        <w:t>TO</w:t>
                      </w:r>
                      <w:r>
                        <w:rPr>
                          <w:b/>
                          <w:color w:val="000000"/>
                          <w:sz w:val="22"/>
                        </w:rPr>
                        <w:tab/>
                      </w:r>
                      <w:r>
                        <w:rPr>
                          <w:b/>
                          <w:color w:val="000000"/>
                          <w:spacing w:val="-2"/>
                          <w:sz w:val="22"/>
                        </w:rPr>
                        <w:t>GUIDE</w:t>
                      </w:r>
                      <w:r>
                        <w:rPr>
                          <w:b/>
                          <w:color w:val="000000"/>
                          <w:sz w:val="22"/>
                        </w:rPr>
                        <w:tab/>
                      </w:r>
                      <w:r>
                        <w:rPr>
                          <w:b/>
                          <w:color w:val="000000"/>
                          <w:spacing w:val="-2"/>
                          <w:sz w:val="22"/>
                        </w:rPr>
                        <w:t>TRAIN,</w:t>
                      </w:r>
                      <w:r>
                        <w:rPr>
                          <w:b/>
                          <w:color w:val="000000"/>
                          <w:sz w:val="22"/>
                        </w:rPr>
                        <w:tab/>
                      </w:r>
                      <w:r>
                        <w:rPr>
                          <w:b/>
                          <w:color w:val="000000"/>
                          <w:spacing w:val="-2"/>
                          <w:sz w:val="22"/>
                        </w:rPr>
                        <w:t>TEACH,</w:t>
                      </w:r>
                      <w:r>
                        <w:rPr>
                          <w:b/>
                          <w:color w:val="000000"/>
                          <w:sz w:val="22"/>
                        </w:rPr>
                        <w:tab/>
                      </w:r>
                      <w:r>
                        <w:rPr>
                          <w:b/>
                          <w:color w:val="000000"/>
                          <w:spacing w:val="-2"/>
                          <w:sz w:val="22"/>
                        </w:rPr>
                        <w:t>SENSITIZE</w:t>
                      </w:r>
                      <w:r>
                        <w:rPr>
                          <w:b/>
                          <w:color w:val="000000"/>
                          <w:sz w:val="22"/>
                        </w:rPr>
                        <w:tab/>
                      </w:r>
                      <w:r>
                        <w:rPr>
                          <w:b/>
                          <w:color w:val="000000"/>
                          <w:spacing w:val="-2"/>
                          <w:sz w:val="22"/>
                        </w:rPr>
                        <w:t>INDIVIDUALS</w:t>
                      </w:r>
                      <w:r>
                        <w:rPr>
                          <w:b/>
                          <w:color w:val="000000"/>
                          <w:sz w:val="22"/>
                        </w:rPr>
                        <w:tab/>
                      </w:r>
                      <w:r>
                        <w:rPr>
                          <w:b/>
                          <w:color w:val="000000"/>
                          <w:spacing w:val="-4"/>
                          <w:sz w:val="22"/>
                        </w:rPr>
                        <w:t>AND </w:t>
                      </w:r>
                      <w:r>
                        <w:rPr>
                          <w:b/>
                          <w:color w:val="000000"/>
                          <w:sz w:val="22"/>
                        </w:rPr>
                        <w:t>COMMUNITIES TOWARDS THEIR SOCIO-ECONOMIC DEVELOPMENT</w:t>
                      </w:r>
                    </w:p>
                  </w:txbxContent>
                </v:textbox>
                <v:fill type="solid"/>
                <w10:wrap type="topAndBottom"/>
              </v:shape>
            </w:pict>
          </mc:Fallback>
        </mc:AlternateContent>
      </w:r>
    </w:p>
    <w:p>
      <w:pPr>
        <w:pStyle w:val="BodyText"/>
        <w:spacing w:before="20"/>
      </w:pPr>
    </w:p>
    <w:p>
      <w:pPr>
        <w:pStyle w:val="Heading2"/>
        <w:tabs>
          <w:tab w:pos="9219" w:val="left" w:leader="none"/>
        </w:tabs>
      </w:pPr>
      <w:r>
        <w:rPr>
          <w:color w:val="000000"/>
          <w:shd w:fill="FFE699" w:color="auto" w:val="clear"/>
        </w:rPr>
        <w:t>Pehchaan</w:t>
      </w:r>
      <w:r>
        <w:rPr>
          <w:color w:val="000000"/>
          <w:spacing w:val="-4"/>
          <w:shd w:fill="FFE699" w:color="auto" w:val="clear"/>
        </w:rPr>
        <w:t> </w:t>
      </w:r>
      <w:r>
        <w:rPr>
          <w:color w:val="000000"/>
          <w:shd w:fill="FFE699" w:color="auto" w:val="clear"/>
        </w:rPr>
        <w:t>Youth</w:t>
      </w:r>
      <w:r>
        <w:rPr>
          <w:color w:val="000000"/>
          <w:spacing w:val="-4"/>
          <w:shd w:fill="FFE699" w:color="auto" w:val="clear"/>
        </w:rPr>
        <w:t> </w:t>
      </w:r>
      <w:r>
        <w:rPr>
          <w:color w:val="000000"/>
          <w:shd w:fill="FFE699" w:color="auto" w:val="clear"/>
        </w:rPr>
        <w:t>Program</w:t>
      </w:r>
      <w:r>
        <w:rPr>
          <w:color w:val="000000"/>
          <w:spacing w:val="53"/>
          <w:shd w:fill="FFE699" w:color="auto" w:val="clear"/>
        </w:rPr>
        <w:t> </w:t>
      </w:r>
      <w:r>
        <w:rPr>
          <w:color w:val="000000"/>
          <w:shd w:fill="FFE699" w:color="auto" w:val="clear"/>
        </w:rPr>
        <w:t>-</w:t>
      </w:r>
      <w:r>
        <w:rPr>
          <w:color w:val="000000"/>
          <w:spacing w:val="-4"/>
          <w:shd w:fill="FFE699" w:color="auto" w:val="clear"/>
        </w:rPr>
        <w:t> </w:t>
      </w:r>
      <w:r>
        <w:rPr>
          <w:color w:val="000000"/>
          <w:shd w:fill="FFE699" w:color="auto" w:val="clear"/>
        </w:rPr>
        <w:t>Building</w:t>
      </w:r>
      <w:r>
        <w:rPr>
          <w:color w:val="000000"/>
          <w:spacing w:val="-4"/>
          <w:shd w:fill="FFE699" w:color="auto" w:val="clear"/>
        </w:rPr>
        <w:t> </w:t>
      </w:r>
      <w:r>
        <w:rPr>
          <w:color w:val="000000"/>
          <w:shd w:fill="FFE699" w:color="auto" w:val="clear"/>
        </w:rPr>
        <w:t>active</w:t>
      </w:r>
      <w:r>
        <w:rPr>
          <w:color w:val="000000"/>
          <w:spacing w:val="-4"/>
          <w:shd w:fill="FFE699" w:color="auto" w:val="clear"/>
        </w:rPr>
        <w:t> </w:t>
      </w:r>
      <w:r>
        <w:rPr>
          <w:color w:val="000000"/>
          <w:shd w:fill="FFE699" w:color="auto" w:val="clear"/>
        </w:rPr>
        <w:t>Young</w:t>
      </w:r>
      <w:r>
        <w:rPr>
          <w:color w:val="000000"/>
          <w:spacing w:val="-3"/>
          <w:shd w:fill="FFE699" w:color="auto" w:val="clear"/>
        </w:rPr>
        <w:t> </w:t>
      </w:r>
      <w:r>
        <w:rPr>
          <w:color w:val="000000"/>
          <w:shd w:fill="FFE699" w:color="auto" w:val="clear"/>
        </w:rPr>
        <w:t>Citizen</w:t>
      </w:r>
      <w:r>
        <w:rPr>
          <w:color w:val="000000"/>
          <w:spacing w:val="-4"/>
          <w:shd w:fill="FFE699" w:color="auto" w:val="clear"/>
        </w:rPr>
        <w:t> </w:t>
      </w:r>
      <w:r>
        <w:rPr>
          <w:color w:val="000000"/>
          <w:spacing w:val="-2"/>
          <w:shd w:fill="FFE699" w:color="auto" w:val="clear"/>
        </w:rPr>
        <w:t>Leaders</w:t>
      </w:r>
      <w:r>
        <w:rPr>
          <w:color w:val="000000"/>
          <w:shd w:fill="FFE699" w:color="auto" w:val="clear"/>
        </w:rPr>
        <w:tab/>
      </w:r>
    </w:p>
    <w:p>
      <w:pPr>
        <w:pStyle w:val="BodyText"/>
        <w:spacing w:before="58"/>
        <w:rPr>
          <w:b/>
        </w:rPr>
      </w:pPr>
    </w:p>
    <w:p>
      <w:pPr>
        <w:pStyle w:val="BodyText"/>
        <w:spacing w:line="276" w:lineRule="auto"/>
        <w:ind w:left="165" w:right="589"/>
        <w:jc w:val="both"/>
      </w:pPr>
      <w:r>
        <w:rPr>
          <w:b/>
        </w:rPr>
        <w:t>Pehchaan Objective:</w:t>
      </w:r>
      <w:r>
        <w:rPr>
          <w:b/>
          <w:spacing w:val="40"/>
        </w:rPr>
        <w:t> </w:t>
      </w:r>
      <w:r>
        <w:rPr/>
        <w:t>Pehchaan aims to develop concerned and sensitive young citizen leaders who can work at two fundamental levels. First, they are encouraged to influence government departments to become more democratic, accountable, and transparent. Second, they are equipped to educate the community, create a new culture of engagement, and address issues of discrimination and conflict transformation. These leaders are trained</w:t>
      </w:r>
      <w:r>
        <w:rPr>
          <w:spacing w:val="40"/>
        </w:rPr>
        <w:t> </w:t>
      </w:r>
      <w:r>
        <w:rPr/>
        <w:t>in perspective-building, knowledge acquisition, and skill development. They are also supported in initiating leadership projects that ultimately strengthen civil society.</w:t>
      </w:r>
    </w:p>
    <w:p>
      <w:pPr>
        <w:pStyle w:val="BodyText"/>
      </w:pPr>
    </w:p>
    <w:p>
      <w:pPr>
        <w:pStyle w:val="BodyText"/>
      </w:pPr>
    </w:p>
    <w:p>
      <w:pPr>
        <w:pStyle w:val="BodyText"/>
        <w:spacing w:before="113"/>
      </w:pPr>
    </w:p>
    <w:p>
      <w:pPr>
        <w:pStyle w:val="Heading2"/>
        <w:spacing w:before="1"/>
        <w:ind w:left="6945"/>
      </w:pPr>
      <w:r>
        <w:rPr/>
        <w:drawing>
          <wp:anchor distT="0" distB="0" distL="0" distR="0" allowOverlap="1" layoutInCell="1" locked="0" behindDoc="0" simplePos="0" relativeHeight="15731712">
            <wp:simplePos x="0" y="0"/>
            <wp:positionH relativeFrom="page">
              <wp:posOffset>914400</wp:posOffset>
            </wp:positionH>
            <wp:positionV relativeFrom="paragraph">
              <wp:posOffset>-258587</wp:posOffset>
            </wp:positionV>
            <wp:extent cx="4104482" cy="1852246"/>
            <wp:effectExtent l="0" t="0" r="0" b="0"/>
            <wp:wrapNone/>
            <wp:docPr id="9" name="Image 9"/>
            <wp:cNvGraphicFramePr>
              <a:graphicFrameLocks/>
            </wp:cNvGraphicFramePr>
            <a:graphic>
              <a:graphicData uri="http://schemas.openxmlformats.org/drawingml/2006/picture">
                <pic:pic>
                  <pic:nvPicPr>
                    <pic:cNvPr id="9" name="Image 9"/>
                    <pic:cNvPicPr/>
                  </pic:nvPicPr>
                  <pic:blipFill>
                    <a:blip r:embed="rId10" cstate="print"/>
                    <a:stretch>
                      <a:fillRect/>
                    </a:stretch>
                  </pic:blipFill>
                  <pic:spPr>
                    <a:xfrm>
                      <a:off x="0" y="0"/>
                      <a:ext cx="4104482" cy="1852246"/>
                    </a:xfrm>
                    <a:prstGeom prst="rect">
                      <a:avLst/>
                    </a:prstGeom>
                  </pic:spPr>
                </pic:pic>
              </a:graphicData>
            </a:graphic>
          </wp:anchor>
        </w:drawing>
      </w:r>
      <w:r>
        <w:rPr/>
        <w:t>Why</w:t>
      </w:r>
      <w:r>
        <w:rPr>
          <w:spacing w:val="-2"/>
        </w:rPr>
        <w:t> Pehchaan?</w:t>
      </w:r>
    </w:p>
    <w:p>
      <w:pPr>
        <w:pStyle w:val="BodyText"/>
        <w:tabs>
          <w:tab w:pos="8285" w:val="left" w:leader="none"/>
          <w:tab w:pos="9019" w:val="left" w:leader="none"/>
        </w:tabs>
        <w:spacing w:before="37"/>
        <w:ind w:left="6945" w:right="587"/>
        <w:jc w:val="both"/>
      </w:pPr>
      <w:r>
        <w:rPr/>
        <w:t>Our society </w:t>
      </w:r>
      <w:r>
        <w:rPr/>
        <w:t>today faces a complex web of interconnected challenges. In rural areas, the absence of youth-centric spaces restricts young people </w:t>
      </w:r>
      <w:r>
        <w:rPr>
          <w:spacing w:val="-4"/>
        </w:rPr>
        <w:t>from</w:t>
      </w:r>
      <w:r>
        <w:rPr/>
        <w:tab/>
      </w:r>
      <w:r>
        <w:rPr>
          <w:spacing w:val="-2"/>
        </w:rPr>
        <w:t>engaging meaningfully</w:t>
      </w:r>
      <w:r>
        <w:rPr/>
        <w:tab/>
        <w:tab/>
      </w:r>
      <w:r>
        <w:rPr>
          <w:spacing w:val="-6"/>
        </w:rPr>
        <w:t>in </w:t>
      </w:r>
      <w:r>
        <w:rPr/>
        <w:t>community</w:t>
      </w:r>
      <w:r>
        <w:rPr>
          <w:spacing w:val="55"/>
        </w:rPr>
        <w:t>   </w:t>
      </w:r>
      <w:r>
        <w:rPr/>
        <w:t>life</w:t>
      </w:r>
      <w:r>
        <w:rPr>
          <w:spacing w:val="55"/>
        </w:rPr>
        <w:t>   </w:t>
      </w:r>
      <w:r>
        <w:rPr>
          <w:spacing w:val="-5"/>
        </w:rPr>
        <w:t>or</w:t>
      </w:r>
    </w:p>
    <w:p>
      <w:pPr>
        <w:pStyle w:val="BodyText"/>
        <w:ind w:left="165" w:right="591"/>
        <w:jc w:val="both"/>
      </w:pPr>
      <w:r>
        <w:rPr/>
        <w:t>envisioning alternative futures. Simultaneously, there is a glaring lack of public discourse around constitutional values, scientific temper, and critical thinking—foundations essential</w:t>
      </w:r>
      <w:r>
        <w:rPr>
          <w:spacing w:val="40"/>
        </w:rPr>
        <w:t> </w:t>
      </w:r>
      <w:r>
        <w:rPr/>
        <w:t>for a healthy democracy.</w:t>
      </w:r>
    </w:p>
    <w:p>
      <w:pPr>
        <w:pStyle w:val="BodyText"/>
        <w:spacing w:after="0"/>
        <w:jc w:val="both"/>
        <w:sectPr>
          <w:pgSz w:w="11910" w:h="16840"/>
          <w:pgMar w:header="0" w:footer="1001" w:top="1340" w:bottom="1200" w:left="1275" w:right="850"/>
        </w:sectPr>
      </w:pPr>
    </w:p>
    <w:p>
      <w:pPr>
        <w:pStyle w:val="BodyText"/>
        <w:ind w:left="165"/>
        <w:rPr>
          <w:sz w:val="20"/>
        </w:rPr>
      </w:pPr>
      <w:r>
        <w:rPr>
          <w:sz w:val="20"/>
        </w:rPr>
        <w:drawing>
          <wp:inline distT="0" distB="0" distL="0" distR="0">
            <wp:extent cx="2104861" cy="2784157"/>
            <wp:effectExtent l="0" t="0" r="0" b="0"/>
            <wp:docPr id="10" name="Image 10"/>
            <wp:cNvGraphicFramePr>
              <a:graphicFrameLocks/>
            </wp:cNvGraphicFramePr>
            <a:graphic>
              <a:graphicData uri="http://schemas.openxmlformats.org/drawingml/2006/picture">
                <pic:pic>
                  <pic:nvPicPr>
                    <pic:cNvPr id="10" name="Image 10"/>
                    <pic:cNvPicPr/>
                  </pic:nvPicPr>
                  <pic:blipFill>
                    <a:blip r:embed="rId11" cstate="print"/>
                    <a:stretch>
                      <a:fillRect/>
                    </a:stretch>
                  </pic:blipFill>
                  <pic:spPr>
                    <a:xfrm>
                      <a:off x="0" y="0"/>
                      <a:ext cx="2104861" cy="2784157"/>
                    </a:xfrm>
                    <a:prstGeom prst="rect">
                      <a:avLst/>
                    </a:prstGeom>
                  </pic:spPr>
                </pic:pic>
              </a:graphicData>
            </a:graphic>
          </wp:inline>
        </w:drawing>
      </w:r>
      <w:r>
        <w:rPr>
          <w:sz w:val="20"/>
        </w:rPr>
      </w:r>
    </w:p>
    <w:p>
      <w:pPr>
        <w:pStyle w:val="BodyText"/>
        <w:spacing w:before="24"/>
      </w:pPr>
    </w:p>
    <w:p>
      <w:pPr>
        <w:pStyle w:val="BodyText"/>
        <w:ind w:left="165" w:right="589"/>
        <w:jc w:val="both"/>
      </w:pPr>
      <w:r>
        <w:rPr/>
        <w:t>From long on ground experiences it has been observed that youth are increasingly being instrumentalized by polarized opinions, often leaving them disillusioned and divided Pehchaan as initiative brining youth at one platform from diverse background. At the same time, the most vulnerable populations continue to be marginalized, their voices and needs systematically overlooked. A significant gap exists in the representation of marginalized communities within local governance structures, further deepening the cycle of exclusion Pehchaan is designed to bridge this gap between the local democratic institution and communities at margins by developing capacity of youth as leader and pitching the voices of </w:t>
      </w:r>
      <w:r>
        <w:rPr>
          <w:spacing w:val="-2"/>
        </w:rPr>
        <w:t>communities.</w:t>
      </w:r>
    </w:p>
    <w:p>
      <w:pPr>
        <w:pStyle w:val="BodyText"/>
        <w:spacing w:before="27"/>
      </w:pPr>
    </w:p>
    <w:p>
      <w:pPr>
        <w:pStyle w:val="BodyText"/>
        <w:ind w:left="165" w:right="588"/>
        <w:jc w:val="both"/>
      </w:pPr>
      <w:r>
        <w:rPr/>
        <w:t>Urban areas, on the other hand, face the growing strain of distress migration, which puts immense pressure on already stretched public goods and services via program we tend to highlight the issues of migration among young population lying in village. Together, these systemic issues highlight the urgent need for an initiative like </w:t>
      </w:r>
      <w:r>
        <w:rPr>
          <w:i/>
        </w:rPr>
        <w:t>Pehchaan</w:t>
      </w:r>
      <w:r>
        <w:rPr/>
        <w:t>—a program designed to nurture youth leadership, foster inclusive dialogue, and build pathways toward equitable and holistic development with the roots lying in the village as unit.</w:t>
      </w:r>
    </w:p>
    <w:p>
      <w:pPr>
        <w:pStyle w:val="BodyText"/>
      </w:pPr>
    </w:p>
    <w:p>
      <w:pPr>
        <w:pStyle w:val="BodyText"/>
        <w:spacing w:before="65"/>
      </w:pPr>
    </w:p>
    <w:p>
      <w:pPr>
        <w:pStyle w:val="Heading2"/>
      </w:pPr>
      <w:r>
        <w:rPr/>
        <w:t>Key</w:t>
      </w:r>
      <w:r>
        <w:rPr>
          <w:spacing w:val="-3"/>
        </w:rPr>
        <w:t> </w:t>
      </w:r>
      <w:r>
        <w:rPr/>
        <w:t>Highlights:</w:t>
      </w:r>
      <w:r>
        <w:rPr>
          <w:spacing w:val="-2"/>
        </w:rPr>
        <w:t> </w:t>
      </w:r>
      <w:r>
        <w:rPr/>
        <w:t>April</w:t>
      </w:r>
      <w:r>
        <w:rPr>
          <w:spacing w:val="-2"/>
        </w:rPr>
        <w:t> </w:t>
      </w:r>
      <w:r>
        <w:rPr/>
        <w:t>2024</w:t>
      </w:r>
      <w:r>
        <w:rPr>
          <w:spacing w:val="-2"/>
        </w:rPr>
        <w:t> </w:t>
      </w:r>
      <w:r>
        <w:rPr/>
        <w:t>–</w:t>
      </w:r>
      <w:r>
        <w:rPr>
          <w:spacing w:val="-2"/>
        </w:rPr>
        <w:t> </w:t>
      </w:r>
      <w:r>
        <w:rPr/>
        <w:t>March</w:t>
      </w:r>
      <w:r>
        <w:rPr>
          <w:spacing w:val="-2"/>
        </w:rPr>
        <w:t> </w:t>
      </w:r>
      <w:r>
        <w:rPr>
          <w:spacing w:val="-4"/>
        </w:rPr>
        <w:t>2025</w:t>
      </w:r>
    </w:p>
    <w:p>
      <w:pPr>
        <w:pStyle w:val="BodyText"/>
        <w:spacing w:before="64"/>
        <w:rPr>
          <w:b/>
        </w:rPr>
      </w:pPr>
    </w:p>
    <w:p>
      <w:pPr>
        <w:pStyle w:val="BodyText"/>
        <w:spacing w:before="1"/>
        <w:ind w:left="165" w:right="589"/>
        <w:jc w:val="both"/>
      </w:pPr>
      <w:r>
        <w:rPr/>
        <w:t>Between April 2024 and March 2025, a wide range of impactful youth-led and community- based initiatives were carried out across several villages, demonstrating strong civic engagement, leadership development, and social change. Over 10 applications were submitted to local Panchayats by youth leaders addressing key infrastructure issues such as roads, drainage, water, and traffic regulation, leading to tangible improvements in village- level facilities. Transparency and citizen accountability were bolstered through the filing of more</w:t>
      </w:r>
      <w:r>
        <w:rPr>
          <w:spacing w:val="-2"/>
        </w:rPr>
        <w:t> </w:t>
      </w:r>
      <w:r>
        <w:rPr/>
        <w:t>than</w:t>
      </w:r>
      <w:r>
        <w:rPr>
          <w:spacing w:val="-2"/>
        </w:rPr>
        <w:t> </w:t>
      </w:r>
      <w:r>
        <w:rPr/>
        <w:t>seven</w:t>
      </w:r>
      <w:r>
        <w:rPr>
          <w:spacing w:val="-2"/>
        </w:rPr>
        <w:t> </w:t>
      </w:r>
      <w:r>
        <w:rPr/>
        <w:t>RTI</w:t>
      </w:r>
      <w:r>
        <w:rPr>
          <w:spacing w:val="-2"/>
        </w:rPr>
        <w:t> </w:t>
      </w:r>
      <w:r>
        <w:rPr/>
        <w:t>applications</w:t>
      </w:r>
      <w:r>
        <w:rPr>
          <w:spacing w:val="-2"/>
        </w:rPr>
        <w:t> </w:t>
      </w:r>
      <w:r>
        <w:rPr/>
        <w:t>concerning</w:t>
      </w:r>
      <w:r>
        <w:rPr>
          <w:spacing w:val="-2"/>
        </w:rPr>
        <w:t> </w:t>
      </w:r>
      <w:r>
        <w:rPr/>
        <w:t>roads,</w:t>
      </w:r>
      <w:r>
        <w:rPr>
          <w:spacing w:val="-2"/>
        </w:rPr>
        <w:t> </w:t>
      </w:r>
      <w:r>
        <w:rPr/>
        <w:t>libraries,</w:t>
      </w:r>
      <w:r>
        <w:rPr>
          <w:spacing w:val="-2"/>
        </w:rPr>
        <w:t> </w:t>
      </w:r>
      <w:r>
        <w:rPr/>
        <w:t>water,</w:t>
      </w:r>
      <w:r>
        <w:rPr>
          <w:spacing w:val="-2"/>
        </w:rPr>
        <w:t> </w:t>
      </w:r>
      <w:r>
        <w:rPr/>
        <w:t>and</w:t>
      </w:r>
      <w:r>
        <w:rPr>
          <w:spacing w:val="-2"/>
        </w:rPr>
        <w:t> </w:t>
      </w:r>
      <w:r>
        <w:rPr/>
        <w:t>land</w:t>
      </w:r>
      <w:r>
        <w:rPr>
          <w:spacing w:val="-2"/>
        </w:rPr>
        <w:t> </w:t>
      </w:r>
      <w:r>
        <w:rPr/>
        <w:t>rights.</w:t>
      </w:r>
      <w:r>
        <w:rPr>
          <w:spacing w:val="-2"/>
        </w:rPr>
        <w:t> </w:t>
      </w:r>
      <w:r>
        <w:rPr/>
        <w:t>A</w:t>
      </w:r>
      <w:r>
        <w:rPr>
          <w:spacing w:val="-2"/>
        </w:rPr>
        <w:t> </w:t>
      </w:r>
      <w:r>
        <w:rPr/>
        <w:t>camp focused on updating Aadhaar, Ration, and Ayushman cards benefited over 50 villagers, while government scheme access work led to 6 RTE admissions, 2 gas connections, 5 new ration cards, 5 applications under the Kishori Yojana, and 14 sewing machine applications under the Manav Garima Yojana. Over 200 individuals received pensions, ration, or healthcare support during this period.</w:t>
      </w:r>
    </w:p>
    <w:p>
      <w:pPr>
        <w:pStyle w:val="BodyText"/>
        <w:spacing w:after="0"/>
        <w:jc w:val="both"/>
        <w:sectPr>
          <w:pgSz w:w="11910" w:h="16840"/>
          <w:pgMar w:header="0" w:footer="1001" w:top="1420" w:bottom="1200" w:left="1275" w:right="850"/>
        </w:sectPr>
      </w:pPr>
    </w:p>
    <w:p>
      <w:pPr>
        <w:pStyle w:val="BodyText"/>
        <w:ind w:left="165"/>
        <w:rPr>
          <w:sz w:val="20"/>
        </w:rPr>
      </w:pPr>
      <w:r>
        <w:rPr>
          <w:sz w:val="20"/>
        </w:rPr>
        <w:drawing>
          <wp:inline distT="0" distB="0" distL="0" distR="0">
            <wp:extent cx="5518199" cy="2170937"/>
            <wp:effectExtent l="0" t="0" r="0" b="0"/>
            <wp:docPr id="11" name="Image 11"/>
            <wp:cNvGraphicFramePr>
              <a:graphicFrameLocks/>
            </wp:cNvGraphicFramePr>
            <a:graphic>
              <a:graphicData uri="http://schemas.openxmlformats.org/drawingml/2006/picture">
                <pic:pic>
                  <pic:nvPicPr>
                    <pic:cNvPr id="11" name="Image 11"/>
                    <pic:cNvPicPr/>
                  </pic:nvPicPr>
                  <pic:blipFill>
                    <a:blip r:embed="rId12" cstate="print"/>
                    <a:stretch>
                      <a:fillRect/>
                    </a:stretch>
                  </pic:blipFill>
                  <pic:spPr>
                    <a:xfrm>
                      <a:off x="0" y="0"/>
                      <a:ext cx="5518199" cy="2170937"/>
                    </a:xfrm>
                    <a:prstGeom prst="rect">
                      <a:avLst/>
                    </a:prstGeom>
                  </pic:spPr>
                </pic:pic>
              </a:graphicData>
            </a:graphic>
          </wp:inline>
        </w:drawing>
      </w:r>
      <w:r>
        <w:rPr>
          <w:sz w:val="20"/>
        </w:rPr>
      </w:r>
    </w:p>
    <w:p>
      <w:pPr>
        <w:pStyle w:val="BodyText"/>
        <w:spacing w:before="30"/>
      </w:pPr>
    </w:p>
    <w:p>
      <w:pPr>
        <w:pStyle w:val="BodyText"/>
        <w:ind w:left="165" w:right="589"/>
        <w:jc w:val="both"/>
      </w:pPr>
      <w:r>
        <w:rPr/>
        <w:t>In the area of education, over 50 school dropouts were successfully re-enrolled and linked to scholarship programs. Additionally, five girls were admitted to ITI, two children were re- admitted via NIOS, and 20 orphans benefited from a minority scholarship survey conducted in Modasa. Employment-related activities included the submission of more than 60 recruitment forms for PSI and Constable roles, alongside awareness programs across six villages.</w:t>
      </w:r>
      <w:r>
        <w:rPr>
          <w:spacing w:val="-3"/>
        </w:rPr>
        <w:t> </w:t>
      </w:r>
      <w:r>
        <w:rPr/>
        <w:t>Skill-building</w:t>
      </w:r>
      <w:r>
        <w:rPr>
          <w:spacing w:val="-3"/>
        </w:rPr>
        <w:t> </w:t>
      </w:r>
      <w:r>
        <w:rPr/>
        <w:t>initiatives</w:t>
      </w:r>
      <w:r>
        <w:rPr>
          <w:spacing w:val="-3"/>
        </w:rPr>
        <w:t> </w:t>
      </w:r>
      <w:r>
        <w:rPr/>
        <w:t>were</w:t>
      </w:r>
      <w:r>
        <w:rPr>
          <w:spacing w:val="-3"/>
        </w:rPr>
        <w:t> </w:t>
      </w:r>
      <w:r>
        <w:rPr/>
        <w:t>linked</w:t>
      </w:r>
      <w:r>
        <w:rPr>
          <w:spacing w:val="-3"/>
        </w:rPr>
        <w:t> </w:t>
      </w:r>
      <w:r>
        <w:rPr/>
        <w:t>through</w:t>
      </w:r>
      <w:r>
        <w:rPr>
          <w:spacing w:val="-3"/>
        </w:rPr>
        <w:t> </w:t>
      </w:r>
      <w:r>
        <w:rPr/>
        <w:t>the</w:t>
      </w:r>
      <w:r>
        <w:rPr>
          <w:spacing w:val="-3"/>
        </w:rPr>
        <w:t> </w:t>
      </w:r>
      <w:r>
        <w:rPr/>
        <w:t>Kaushalya</w:t>
      </w:r>
      <w:r>
        <w:rPr>
          <w:spacing w:val="-3"/>
        </w:rPr>
        <w:t> </w:t>
      </w:r>
      <w:r>
        <w:rPr/>
        <w:t>Vardhan</w:t>
      </w:r>
      <w:r>
        <w:rPr>
          <w:spacing w:val="-3"/>
        </w:rPr>
        <w:t> </w:t>
      </w:r>
      <w:r>
        <w:rPr/>
        <w:t>Kendra,</w:t>
      </w:r>
      <w:r>
        <w:rPr>
          <w:spacing w:val="-3"/>
        </w:rPr>
        <w:t> </w:t>
      </w:r>
      <w:r>
        <w:rPr/>
        <w:t>offering computer and driving training. Health initiatives included a 10-day health camp in Navalpur, which served 78 people.</w:t>
      </w:r>
    </w:p>
    <w:p>
      <w:pPr>
        <w:pStyle w:val="BodyText"/>
        <w:spacing w:before="27"/>
      </w:pPr>
    </w:p>
    <w:p>
      <w:pPr>
        <w:pStyle w:val="BodyText"/>
        <w:ind w:left="165" w:right="589"/>
        <w:jc w:val="both"/>
      </w:pPr>
      <w:r>
        <w:rPr/>
        <w:t>To further community awareness and safety, seven cyber fraud cases were identified and addressed,</w:t>
      </w:r>
      <w:r>
        <w:rPr>
          <w:spacing w:val="-4"/>
        </w:rPr>
        <w:t> </w:t>
      </w:r>
      <w:r>
        <w:rPr/>
        <w:t>while</w:t>
      </w:r>
      <w:r>
        <w:rPr>
          <w:spacing w:val="-4"/>
        </w:rPr>
        <w:t> </w:t>
      </w:r>
      <w:r>
        <w:rPr/>
        <w:t>youth</w:t>
      </w:r>
      <w:r>
        <w:rPr>
          <w:spacing w:val="-4"/>
        </w:rPr>
        <w:t> </w:t>
      </w:r>
      <w:r>
        <w:rPr/>
        <w:t>groups</w:t>
      </w:r>
      <w:r>
        <w:rPr>
          <w:spacing w:val="-4"/>
        </w:rPr>
        <w:t> </w:t>
      </w:r>
      <w:r>
        <w:rPr/>
        <w:t>also</w:t>
      </w:r>
      <w:r>
        <w:rPr>
          <w:spacing w:val="-4"/>
        </w:rPr>
        <w:t> </w:t>
      </w:r>
      <w:r>
        <w:rPr/>
        <w:t>initiated</w:t>
      </w:r>
      <w:r>
        <w:rPr>
          <w:spacing w:val="-4"/>
        </w:rPr>
        <w:t> </w:t>
      </w:r>
      <w:r>
        <w:rPr/>
        <w:t>video</w:t>
      </w:r>
      <w:r>
        <w:rPr>
          <w:spacing w:val="-4"/>
        </w:rPr>
        <w:t> </w:t>
      </w:r>
      <w:r>
        <w:rPr/>
        <w:t>documentation</w:t>
      </w:r>
      <w:r>
        <w:rPr>
          <w:spacing w:val="-4"/>
        </w:rPr>
        <w:t> </w:t>
      </w:r>
      <w:r>
        <w:rPr/>
        <w:t>projects</w:t>
      </w:r>
      <w:r>
        <w:rPr>
          <w:spacing w:val="-4"/>
        </w:rPr>
        <w:t> </w:t>
      </w:r>
      <w:r>
        <w:rPr/>
        <w:t>about</w:t>
      </w:r>
      <w:r>
        <w:rPr>
          <w:spacing w:val="-4"/>
        </w:rPr>
        <w:t> </w:t>
      </w:r>
      <w:r>
        <w:rPr/>
        <w:t>local</w:t>
      </w:r>
      <w:r>
        <w:rPr>
          <w:spacing w:val="-4"/>
        </w:rPr>
        <w:t> </w:t>
      </w:r>
      <w:r>
        <w:rPr/>
        <w:t>history and national heroes. Six women’s groups were formed, and 10 training sessions were conducted to enhance their leadership and collective action. Youth also organized seven multicultural gatherings promoting unity and shared identity. Special events were organized for Eid Milan in Mangadh, peace advocacy during Ram Navami, and land allocation for a playground in Sureli. Civic awareness was deepened through six national observance sessions—two on Constitution Day and four on Women’s Day.</w:t>
      </w:r>
    </w:p>
    <w:p>
      <w:pPr>
        <w:pStyle w:val="BodyText"/>
        <w:spacing w:before="27"/>
      </w:pPr>
    </w:p>
    <w:p>
      <w:pPr>
        <w:pStyle w:val="BodyText"/>
        <w:ind w:left="165" w:right="591"/>
        <w:jc w:val="both"/>
      </w:pPr>
      <w:r>
        <w:rPr/>
        <w:t>Leadership and capacity-building remained central, with one in-depth training on the Constitution</w:t>
      </w:r>
      <w:r>
        <w:rPr>
          <w:spacing w:val="26"/>
        </w:rPr>
        <w:t> </w:t>
      </w:r>
      <w:r>
        <w:rPr/>
        <w:t>conducted</w:t>
      </w:r>
      <w:r>
        <w:rPr>
          <w:spacing w:val="26"/>
        </w:rPr>
        <w:t> </w:t>
      </w:r>
      <w:r>
        <w:rPr/>
        <w:t>for</w:t>
      </w:r>
      <w:r>
        <w:rPr>
          <w:spacing w:val="26"/>
        </w:rPr>
        <w:t> </w:t>
      </w:r>
      <w:r>
        <w:rPr/>
        <w:t>team</w:t>
      </w:r>
      <w:r>
        <w:rPr>
          <w:spacing w:val="26"/>
        </w:rPr>
        <w:t> </w:t>
      </w:r>
      <w:r>
        <w:rPr/>
        <w:t>members</w:t>
      </w:r>
      <w:r>
        <w:rPr>
          <w:spacing w:val="26"/>
        </w:rPr>
        <w:t> </w:t>
      </w:r>
      <w:r>
        <w:rPr/>
        <w:t>and</w:t>
      </w:r>
      <w:r>
        <w:rPr>
          <w:spacing w:val="26"/>
        </w:rPr>
        <w:t> </w:t>
      </w:r>
      <w:r>
        <w:rPr/>
        <w:t>an</w:t>
      </w:r>
      <w:r>
        <w:rPr>
          <w:spacing w:val="26"/>
        </w:rPr>
        <w:t> </w:t>
      </w:r>
      <w:r>
        <w:rPr/>
        <w:t>exposure</w:t>
      </w:r>
      <w:r>
        <w:rPr>
          <w:spacing w:val="26"/>
        </w:rPr>
        <w:t> </w:t>
      </w:r>
      <w:r>
        <w:rPr/>
        <w:t>visit</w:t>
      </w:r>
      <w:r>
        <w:rPr>
          <w:spacing w:val="26"/>
        </w:rPr>
        <w:t> </w:t>
      </w:r>
      <w:r>
        <w:rPr/>
        <w:t>organized</w:t>
      </w:r>
      <w:r>
        <w:rPr>
          <w:spacing w:val="26"/>
        </w:rPr>
        <w:t> </w:t>
      </w:r>
      <w:r>
        <w:rPr/>
        <w:t>for</w:t>
      </w:r>
      <w:r>
        <w:rPr>
          <w:spacing w:val="26"/>
        </w:rPr>
        <w:t> </w:t>
      </w:r>
      <w:r>
        <w:rPr/>
        <w:t>adolescent</w:t>
      </w:r>
    </w:p>
    <w:p>
      <w:pPr>
        <w:pStyle w:val="BodyText"/>
        <w:ind w:left="5585" w:right="588"/>
        <w:jc w:val="both"/>
      </w:pPr>
      <w:r>
        <w:rPr/>
        <w:drawing>
          <wp:anchor distT="0" distB="0" distL="0" distR="0" allowOverlap="1" layoutInCell="1" locked="0" behindDoc="0" simplePos="0" relativeHeight="15732224">
            <wp:simplePos x="0" y="0"/>
            <wp:positionH relativeFrom="page">
              <wp:posOffset>1073150</wp:posOffset>
            </wp:positionH>
            <wp:positionV relativeFrom="paragraph">
              <wp:posOffset>50870</wp:posOffset>
            </wp:positionV>
            <wp:extent cx="3154598" cy="2715895"/>
            <wp:effectExtent l="0" t="0" r="0" b="0"/>
            <wp:wrapNone/>
            <wp:docPr id="12" name="Image 12"/>
            <wp:cNvGraphicFramePr>
              <a:graphicFrameLocks/>
            </wp:cNvGraphicFramePr>
            <a:graphic>
              <a:graphicData uri="http://schemas.openxmlformats.org/drawingml/2006/picture">
                <pic:pic>
                  <pic:nvPicPr>
                    <pic:cNvPr id="12" name="Image 12"/>
                    <pic:cNvPicPr/>
                  </pic:nvPicPr>
                  <pic:blipFill>
                    <a:blip r:embed="rId13" cstate="print"/>
                    <a:stretch>
                      <a:fillRect/>
                    </a:stretch>
                  </pic:blipFill>
                  <pic:spPr>
                    <a:xfrm>
                      <a:off x="0" y="0"/>
                      <a:ext cx="3154598" cy="2715895"/>
                    </a:xfrm>
                    <a:prstGeom prst="rect">
                      <a:avLst/>
                    </a:prstGeom>
                  </pic:spPr>
                </pic:pic>
              </a:graphicData>
            </a:graphic>
          </wp:anchor>
        </w:drawing>
      </w:r>
      <w:r>
        <w:rPr/>
        <w:t>girls. Twenty-five monthly meetings facilitated program reflection and planning. Finally, sessions on aspirations and confidence were</w:t>
      </w:r>
      <w:r>
        <w:rPr>
          <w:spacing w:val="40"/>
        </w:rPr>
        <w:t> </w:t>
      </w:r>
      <w:r>
        <w:rPr/>
        <w:t>held for girls from September 2024</w:t>
      </w:r>
      <w:r>
        <w:rPr>
          <w:spacing w:val="40"/>
        </w:rPr>
        <w:t> </w:t>
      </w:r>
      <w:r>
        <w:rPr/>
        <w:t>to January 2025, helping them articulate dreams and build self- belief. These diverse, grassroots- driven actions reflect a strong commitment to youth empowerment, social justice, and inclusive development across the region.</w:t>
      </w:r>
    </w:p>
    <w:p>
      <w:pPr>
        <w:pStyle w:val="BodyText"/>
        <w:spacing w:before="27"/>
      </w:pPr>
    </w:p>
    <w:p>
      <w:pPr>
        <w:pStyle w:val="Heading2"/>
        <w:ind w:left="5585"/>
      </w:pPr>
      <w:r>
        <w:rPr/>
        <w:t>Case</w:t>
      </w:r>
      <w:r>
        <w:rPr>
          <w:spacing w:val="-3"/>
        </w:rPr>
        <w:t> </w:t>
      </w:r>
      <w:r>
        <w:rPr/>
        <w:t>Stories</w:t>
      </w:r>
      <w:r>
        <w:rPr>
          <w:spacing w:val="-3"/>
        </w:rPr>
        <w:t> </w:t>
      </w:r>
      <w:r>
        <w:rPr/>
        <w:t>of</w:t>
      </w:r>
      <w:r>
        <w:rPr>
          <w:spacing w:val="-2"/>
        </w:rPr>
        <w:t> Change</w:t>
      </w:r>
    </w:p>
    <w:p>
      <w:pPr>
        <w:pStyle w:val="BodyText"/>
        <w:spacing w:before="75"/>
        <w:rPr>
          <w:b/>
        </w:rPr>
      </w:pPr>
    </w:p>
    <w:p>
      <w:pPr>
        <w:pStyle w:val="ListParagraph"/>
        <w:numPr>
          <w:ilvl w:val="0"/>
          <w:numId w:val="2"/>
        </w:numPr>
        <w:tabs>
          <w:tab w:pos="6024" w:val="left" w:leader="none"/>
          <w:tab w:pos="7086" w:val="left" w:leader="none"/>
          <w:tab w:pos="7367" w:val="left" w:leader="none"/>
          <w:tab w:pos="7575" w:val="left" w:leader="none"/>
          <w:tab w:pos="8479" w:val="left" w:leader="none"/>
          <w:tab w:pos="8516" w:val="left" w:leader="none"/>
          <w:tab w:pos="9066" w:val="left" w:leader="none"/>
        </w:tabs>
        <w:spacing w:line="276" w:lineRule="auto" w:before="1" w:after="0"/>
        <w:ind w:left="5585" w:right="589" w:firstLine="0"/>
        <w:jc w:val="right"/>
        <w:rPr>
          <w:b/>
          <w:sz w:val="22"/>
        </w:rPr>
      </w:pPr>
      <w:r>
        <w:rPr>
          <w:b/>
          <w:spacing w:val="-2"/>
          <w:sz w:val="22"/>
        </w:rPr>
        <w:t>Youth-Led</w:t>
      </w:r>
      <w:r>
        <w:rPr>
          <w:b/>
          <w:sz w:val="22"/>
        </w:rPr>
        <w:tab/>
      </w:r>
      <w:r>
        <w:rPr>
          <w:b/>
          <w:spacing w:val="-2"/>
          <w:sz w:val="22"/>
        </w:rPr>
        <w:t>Initiative</w:t>
      </w:r>
      <w:r>
        <w:rPr>
          <w:b/>
          <w:sz w:val="22"/>
        </w:rPr>
        <w:tab/>
        <w:tab/>
      </w:r>
      <w:r>
        <w:rPr>
          <w:b/>
          <w:spacing w:val="-4"/>
          <w:sz w:val="22"/>
        </w:rPr>
        <w:t>for</w:t>
      </w:r>
      <w:r>
        <w:rPr>
          <w:b/>
          <w:sz w:val="22"/>
        </w:rPr>
        <w:tab/>
      </w:r>
      <w:r>
        <w:rPr>
          <w:b/>
          <w:spacing w:val="-10"/>
          <w:sz w:val="22"/>
        </w:rPr>
        <w:t>a </w:t>
      </w:r>
      <w:r>
        <w:rPr>
          <w:b/>
          <w:spacing w:val="-2"/>
          <w:sz w:val="22"/>
        </w:rPr>
        <w:t>Playground</w:t>
      </w:r>
      <w:r>
        <w:rPr>
          <w:b/>
          <w:sz w:val="22"/>
        </w:rPr>
        <w:tab/>
      </w:r>
      <w:r>
        <w:rPr>
          <w:b/>
          <w:spacing w:val="-5"/>
          <w:sz w:val="22"/>
        </w:rPr>
        <w:t>in</w:t>
      </w:r>
      <w:r>
        <w:rPr>
          <w:b/>
          <w:sz w:val="22"/>
        </w:rPr>
        <w:tab/>
        <w:tab/>
      </w:r>
      <w:r>
        <w:rPr>
          <w:b/>
          <w:spacing w:val="-2"/>
          <w:sz w:val="22"/>
        </w:rPr>
        <w:t>Sureli</w:t>
      </w:r>
      <w:r>
        <w:rPr>
          <w:b/>
          <w:sz w:val="22"/>
        </w:rPr>
        <w:tab/>
      </w:r>
      <w:r>
        <w:rPr>
          <w:b/>
          <w:spacing w:val="-2"/>
          <w:sz w:val="22"/>
        </w:rPr>
        <w:t>Village</w:t>
      </w:r>
    </w:p>
    <w:p>
      <w:pPr>
        <w:pStyle w:val="BodyText"/>
        <w:spacing w:line="276" w:lineRule="auto"/>
        <w:ind w:right="590"/>
        <w:jc w:val="right"/>
      </w:pPr>
      <w:r>
        <w:rPr/>
        <w:t>In Sureli village, youth faced challenges in preparing for physical fitness exams due to the</w:t>
      </w:r>
      <w:r>
        <w:rPr>
          <w:spacing w:val="80"/>
        </w:rPr>
        <w:t> </w:t>
      </w:r>
      <w:r>
        <w:rPr/>
        <w:t>absence</w:t>
      </w:r>
      <w:r>
        <w:rPr>
          <w:spacing w:val="3"/>
        </w:rPr>
        <w:t> </w:t>
      </w:r>
      <w:r>
        <w:rPr/>
        <w:t>of</w:t>
      </w:r>
      <w:r>
        <w:rPr>
          <w:spacing w:val="3"/>
        </w:rPr>
        <w:t> </w:t>
      </w:r>
      <w:r>
        <w:rPr/>
        <w:t>a</w:t>
      </w:r>
      <w:r>
        <w:rPr>
          <w:spacing w:val="4"/>
        </w:rPr>
        <w:t> </w:t>
      </w:r>
      <w:r>
        <w:rPr/>
        <w:t>proper</w:t>
      </w:r>
      <w:r>
        <w:rPr>
          <w:spacing w:val="3"/>
        </w:rPr>
        <w:t> </w:t>
      </w:r>
      <w:r>
        <w:rPr/>
        <w:t>playground.</w:t>
      </w:r>
      <w:r>
        <w:rPr>
          <w:spacing w:val="4"/>
        </w:rPr>
        <w:t> </w:t>
      </w:r>
      <w:r>
        <w:rPr/>
        <w:t>Despite</w:t>
      </w:r>
      <w:r>
        <w:rPr>
          <w:spacing w:val="3"/>
        </w:rPr>
        <w:t> </w:t>
      </w:r>
      <w:r>
        <w:rPr/>
        <w:t>submitting</w:t>
      </w:r>
      <w:r>
        <w:rPr>
          <w:spacing w:val="4"/>
        </w:rPr>
        <w:t> </w:t>
      </w:r>
      <w:r>
        <w:rPr/>
        <w:t>a</w:t>
      </w:r>
      <w:r>
        <w:rPr>
          <w:spacing w:val="3"/>
        </w:rPr>
        <w:t> </w:t>
      </w:r>
      <w:r>
        <w:rPr/>
        <w:t>request</w:t>
      </w:r>
      <w:r>
        <w:rPr>
          <w:spacing w:val="3"/>
        </w:rPr>
        <w:t> </w:t>
      </w:r>
      <w:r>
        <w:rPr/>
        <w:t>five</w:t>
      </w:r>
      <w:r>
        <w:rPr>
          <w:spacing w:val="4"/>
        </w:rPr>
        <w:t> </w:t>
      </w:r>
      <w:r>
        <w:rPr/>
        <w:t>years</w:t>
      </w:r>
      <w:r>
        <w:rPr>
          <w:spacing w:val="3"/>
        </w:rPr>
        <w:t> </w:t>
      </w:r>
      <w:r>
        <w:rPr/>
        <w:t>ago,</w:t>
      </w:r>
      <w:r>
        <w:rPr>
          <w:spacing w:val="4"/>
        </w:rPr>
        <w:t> </w:t>
      </w:r>
      <w:r>
        <w:rPr/>
        <w:t>no</w:t>
      </w:r>
      <w:r>
        <w:rPr>
          <w:spacing w:val="3"/>
        </w:rPr>
        <w:t> </w:t>
      </w:r>
      <w:r>
        <w:rPr/>
        <w:t>action</w:t>
      </w:r>
      <w:r>
        <w:rPr>
          <w:spacing w:val="4"/>
        </w:rPr>
        <w:t> </w:t>
      </w:r>
      <w:r>
        <w:rPr>
          <w:spacing w:val="-5"/>
        </w:rPr>
        <w:t>was</w:t>
      </w:r>
    </w:p>
    <w:p>
      <w:pPr>
        <w:pStyle w:val="BodyText"/>
        <w:spacing w:after="0" w:line="276" w:lineRule="auto"/>
        <w:jc w:val="right"/>
        <w:sectPr>
          <w:pgSz w:w="11910" w:h="16840"/>
          <w:pgMar w:header="0" w:footer="1001" w:top="1420" w:bottom="1200" w:left="1275" w:right="850"/>
        </w:sectPr>
      </w:pPr>
    </w:p>
    <w:p>
      <w:pPr>
        <w:pStyle w:val="BodyText"/>
        <w:spacing w:line="276" w:lineRule="auto" w:before="82"/>
        <w:ind w:left="165" w:right="590"/>
        <w:jc w:val="both"/>
      </w:pPr>
      <w:r>
        <w:rPr/>
        <w:t>taken by the Panchayat. A group of local youth, including Aleem Bhai, formed a Youth Citizen Leaders (YCL) group under Pehchaan’s guidance. With more than 200 members, they engaged persistently with government officials, including the Panchayat and Taluka officers. Their efforts led to an official land survey and the approval of a playground under</w:t>
      </w:r>
      <w:r>
        <w:rPr>
          <w:spacing w:val="40"/>
        </w:rPr>
        <w:t> </w:t>
      </w:r>
      <w:r>
        <w:rPr/>
        <w:t>the MGNREGA scheme.</w:t>
      </w:r>
    </w:p>
    <w:p>
      <w:pPr>
        <w:pStyle w:val="BodyText"/>
        <w:spacing w:before="37"/>
      </w:pPr>
    </w:p>
    <w:p>
      <w:pPr>
        <w:pStyle w:val="BodyText"/>
        <w:spacing w:line="276" w:lineRule="auto" w:before="1"/>
        <w:ind w:left="165" w:right="589"/>
        <w:jc w:val="both"/>
      </w:pPr>
      <w:r>
        <w:rPr/>
        <w:t>However, facing bureaucratic delays, the youth took matters into their own hands. They raised funds and cleaned the site themselves to make it usable immediately. Today, the playground serves as a hub for cricket, running practice, and community events. It has already helped over ten young people clear police fitness tests, with Sanvar Khan notably winning</w:t>
      </w:r>
      <w:r>
        <w:rPr>
          <w:spacing w:val="-3"/>
        </w:rPr>
        <w:t> </w:t>
      </w:r>
      <w:r>
        <w:rPr/>
        <w:t>a</w:t>
      </w:r>
      <w:r>
        <w:rPr>
          <w:spacing w:val="-3"/>
        </w:rPr>
        <w:t> </w:t>
      </w:r>
      <w:r>
        <w:rPr/>
        <w:t>5</w:t>
      </w:r>
      <w:r>
        <w:rPr>
          <w:spacing w:val="-3"/>
        </w:rPr>
        <w:t> </w:t>
      </w:r>
      <w:r>
        <w:rPr/>
        <w:t>km</w:t>
      </w:r>
      <w:r>
        <w:rPr>
          <w:spacing w:val="-3"/>
        </w:rPr>
        <w:t> </w:t>
      </w:r>
      <w:r>
        <w:rPr/>
        <w:t>race</w:t>
      </w:r>
      <w:r>
        <w:rPr>
          <w:spacing w:val="-3"/>
        </w:rPr>
        <w:t> </w:t>
      </w:r>
      <w:r>
        <w:rPr/>
        <w:t>in</w:t>
      </w:r>
      <w:r>
        <w:rPr>
          <w:spacing w:val="-3"/>
        </w:rPr>
        <w:t> </w:t>
      </w:r>
      <w:r>
        <w:rPr/>
        <w:t>just</w:t>
      </w:r>
      <w:r>
        <w:rPr>
          <w:spacing w:val="-3"/>
        </w:rPr>
        <w:t> </w:t>
      </w:r>
      <w:r>
        <w:rPr/>
        <w:t>19</w:t>
      </w:r>
      <w:r>
        <w:rPr>
          <w:spacing w:val="-3"/>
        </w:rPr>
        <w:t> </w:t>
      </w:r>
      <w:r>
        <w:rPr/>
        <w:t>minutes.</w:t>
      </w:r>
      <w:r>
        <w:rPr>
          <w:spacing w:val="-3"/>
        </w:rPr>
        <w:t> </w:t>
      </w:r>
      <w:r>
        <w:rPr/>
        <w:t>Inspired</w:t>
      </w:r>
      <w:r>
        <w:rPr>
          <w:spacing w:val="-3"/>
        </w:rPr>
        <w:t> </w:t>
      </w:r>
      <w:r>
        <w:rPr/>
        <w:t>by</w:t>
      </w:r>
      <w:r>
        <w:rPr>
          <w:spacing w:val="-3"/>
        </w:rPr>
        <w:t> </w:t>
      </w:r>
      <w:r>
        <w:rPr/>
        <w:t>this</w:t>
      </w:r>
      <w:r>
        <w:rPr>
          <w:spacing w:val="-3"/>
        </w:rPr>
        <w:t> </w:t>
      </w:r>
      <w:r>
        <w:rPr/>
        <w:t>success,</w:t>
      </w:r>
      <w:r>
        <w:rPr>
          <w:spacing w:val="-3"/>
        </w:rPr>
        <w:t> </w:t>
      </w:r>
      <w:r>
        <w:rPr/>
        <w:t>neighboring</w:t>
      </w:r>
      <w:r>
        <w:rPr>
          <w:spacing w:val="-3"/>
        </w:rPr>
        <w:t> </w:t>
      </w:r>
      <w:r>
        <w:rPr/>
        <w:t>Dhuletta</w:t>
      </w:r>
      <w:r>
        <w:rPr>
          <w:spacing w:val="-3"/>
        </w:rPr>
        <w:t> </w:t>
      </w:r>
      <w:r>
        <w:rPr/>
        <w:t>village has launched a similar initiative. A cricket tournament is also being planned to support ongoing maintenance, demonstrating how youth can lead community transformation and build inter-community solidarity.</w:t>
      </w:r>
    </w:p>
    <w:p>
      <w:pPr>
        <w:pStyle w:val="BodyText"/>
        <w:spacing w:before="37"/>
      </w:pPr>
    </w:p>
    <w:p>
      <w:pPr>
        <w:pStyle w:val="ListParagraph"/>
        <w:numPr>
          <w:ilvl w:val="0"/>
          <w:numId w:val="2"/>
        </w:numPr>
        <w:tabs>
          <w:tab w:pos="527" w:val="left" w:leader="none"/>
        </w:tabs>
        <w:spacing w:line="276" w:lineRule="auto" w:before="1" w:after="0"/>
        <w:ind w:left="165" w:right="590" w:firstLine="0"/>
        <w:jc w:val="both"/>
        <w:rPr>
          <w:sz w:val="22"/>
        </w:rPr>
      </w:pPr>
      <w:r>
        <w:rPr>
          <w:b/>
          <w:sz w:val="22"/>
        </w:rPr>
        <w:t>Empowering</w:t>
      </w:r>
      <w:r>
        <w:rPr>
          <w:b/>
          <w:spacing w:val="40"/>
          <w:sz w:val="22"/>
        </w:rPr>
        <w:t> </w:t>
      </w:r>
      <w:r>
        <w:rPr>
          <w:b/>
          <w:sz w:val="22"/>
        </w:rPr>
        <w:t>Girls</w:t>
      </w:r>
      <w:r>
        <w:rPr>
          <w:b/>
          <w:spacing w:val="40"/>
          <w:sz w:val="22"/>
        </w:rPr>
        <w:t> </w:t>
      </w:r>
      <w:r>
        <w:rPr>
          <w:b/>
          <w:sz w:val="22"/>
        </w:rPr>
        <w:t>in</w:t>
      </w:r>
      <w:r>
        <w:rPr>
          <w:b/>
          <w:spacing w:val="40"/>
          <w:sz w:val="22"/>
        </w:rPr>
        <w:t> </w:t>
      </w:r>
      <w:r>
        <w:rPr>
          <w:b/>
          <w:sz w:val="22"/>
        </w:rPr>
        <w:t>Mangadh</w:t>
      </w:r>
      <w:r>
        <w:rPr>
          <w:b/>
          <w:spacing w:val="40"/>
          <w:sz w:val="22"/>
        </w:rPr>
        <w:t> </w:t>
      </w:r>
      <w:r>
        <w:rPr>
          <w:b/>
          <w:sz w:val="22"/>
        </w:rPr>
        <w:t>Village:</w:t>
      </w:r>
      <w:r>
        <w:rPr>
          <w:b/>
          <w:spacing w:val="40"/>
          <w:sz w:val="22"/>
        </w:rPr>
        <w:t> </w:t>
      </w:r>
      <w:r>
        <w:rPr>
          <w:b/>
          <w:sz w:val="22"/>
        </w:rPr>
        <w:t>A</w:t>
      </w:r>
      <w:r>
        <w:rPr>
          <w:b/>
          <w:spacing w:val="40"/>
          <w:sz w:val="22"/>
        </w:rPr>
        <w:t> </w:t>
      </w:r>
      <w:r>
        <w:rPr>
          <w:b/>
          <w:sz w:val="22"/>
        </w:rPr>
        <w:t>Story</w:t>
      </w:r>
      <w:r>
        <w:rPr>
          <w:b/>
          <w:spacing w:val="40"/>
          <w:sz w:val="22"/>
        </w:rPr>
        <w:t> </w:t>
      </w:r>
      <w:r>
        <w:rPr>
          <w:b/>
          <w:sz w:val="22"/>
        </w:rPr>
        <w:t>of</w:t>
      </w:r>
      <w:r>
        <w:rPr>
          <w:b/>
          <w:spacing w:val="40"/>
          <w:sz w:val="22"/>
        </w:rPr>
        <w:t> </w:t>
      </w:r>
      <w:r>
        <w:rPr>
          <w:b/>
          <w:sz w:val="22"/>
        </w:rPr>
        <w:t>Inclusion</w:t>
      </w:r>
      <w:r>
        <w:rPr>
          <w:b/>
          <w:spacing w:val="40"/>
          <w:sz w:val="22"/>
        </w:rPr>
        <w:t> </w:t>
      </w:r>
      <w:r>
        <w:rPr>
          <w:b/>
          <w:sz w:val="22"/>
        </w:rPr>
        <w:t>and</w:t>
      </w:r>
      <w:r>
        <w:rPr>
          <w:b/>
          <w:spacing w:val="40"/>
          <w:sz w:val="22"/>
        </w:rPr>
        <w:t> </w:t>
      </w:r>
      <w:r>
        <w:rPr>
          <w:b/>
          <w:sz w:val="22"/>
        </w:rPr>
        <w:t>Change </w:t>
      </w:r>
      <w:r>
        <w:rPr>
          <w:sz w:val="22"/>
        </w:rPr>
        <w:t>Mangadh, a village in Idar Taluka, Sabarkantha District, has undergone a transformative journey through Pehchaan. The youth group here was spearheaded by 22-year-old YCL member Poonam from the Dalit community. Most girls in the village belong to Dalit and Muslim backgrounds, but early on, Muslim girls were notably absent from the group.</w:t>
      </w:r>
    </w:p>
    <w:p>
      <w:pPr>
        <w:pStyle w:val="BodyText"/>
        <w:spacing w:before="37"/>
      </w:pPr>
    </w:p>
    <w:p>
      <w:pPr>
        <w:pStyle w:val="BodyText"/>
        <w:spacing w:line="276" w:lineRule="auto" w:before="1"/>
        <w:ind w:left="165" w:right="590"/>
        <w:jc w:val="both"/>
      </w:pPr>
      <w:r>
        <w:rPr/>
        <w:t>With guidance from Youth Facilitator Zareena Bain and support from a local Anganwadi worker, Poonam initiated conversations with the families of these girls. Many families were hesitant, fearing that participation in mixed-gender groups could lead to romantic entanglements. Through repeated dialogues and trust-building, families began allowing their daughters to engage in village-level activities.</w:t>
      </w:r>
    </w:p>
    <w:p>
      <w:pPr>
        <w:pStyle w:val="BodyText"/>
      </w:pPr>
    </w:p>
    <w:p>
      <w:pPr>
        <w:pStyle w:val="BodyText"/>
        <w:spacing w:before="26"/>
      </w:pPr>
    </w:p>
    <w:p>
      <w:pPr>
        <w:spacing w:before="1"/>
        <w:ind w:left="165" w:right="0" w:firstLine="0"/>
        <w:jc w:val="left"/>
        <w:rPr>
          <w:i/>
          <w:sz w:val="22"/>
        </w:rPr>
      </w:pPr>
      <w:r>
        <w:rPr>
          <w:i/>
          <w:sz w:val="22"/>
        </w:rPr>
        <w:t>Picture:</w:t>
      </w:r>
      <w:r>
        <w:rPr>
          <w:i/>
          <w:spacing w:val="-5"/>
          <w:sz w:val="22"/>
        </w:rPr>
        <w:t> </w:t>
      </w:r>
      <w:r>
        <w:rPr>
          <w:i/>
          <w:sz w:val="22"/>
        </w:rPr>
        <w:t>Heritage</w:t>
      </w:r>
      <w:r>
        <w:rPr>
          <w:i/>
          <w:spacing w:val="-3"/>
          <w:sz w:val="22"/>
        </w:rPr>
        <w:t> </w:t>
      </w:r>
      <w:r>
        <w:rPr>
          <w:i/>
          <w:sz w:val="22"/>
        </w:rPr>
        <w:t>walk</w:t>
      </w:r>
      <w:r>
        <w:rPr>
          <w:i/>
          <w:spacing w:val="-2"/>
          <w:sz w:val="22"/>
        </w:rPr>
        <w:t> </w:t>
      </w:r>
      <w:r>
        <w:rPr>
          <w:i/>
          <w:sz w:val="22"/>
        </w:rPr>
        <w:t>at</w:t>
      </w:r>
      <w:r>
        <w:rPr>
          <w:i/>
          <w:spacing w:val="-3"/>
          <w:sz w:val="22"/>
        </w:rPr>
        <w:t> </w:t>
      </w:r>
      <w:r>
        <w:rPr>
          <w:i/>
          <w:sz w:val="22"/>
        </w:rPr>
        <w:t>Ahmedabad</w:t>
      </w:r>
      <w:r>
        <w:rPr>
          <w:i/>
          <w:spacing w:val="-2"/>
          <w:sz w:val="22"/>
        </w:rPr>
        <w:t> </w:t>
      </w:r>
      <w:r>
        <w:rPr>
          <w:i/>
          <w:sz w:val="22"/>
        </w:rPr>
        <w:t>girls</w:t>
      </w:r>
      <w:r>
        <w:rPr>
          <w:i/>
          <w:spacing w:val="-3"/>
          <w:sz w:val="22"/>
        </w:rPr>
        <w:t> </w:t>
      </w:r>
      <w:r>
        <w:rPr>
          <w:i/>
          <w:sz w:val="22"/>
        </w:rPr>
        <w:t>from</w:t>
      </w:r>
      <w:r>
        <w:rPr>
          <w:i/>
          <w:spacing w:val="-2"/>
          <w:sz w:val="22"/>
        </w:rPr>
        <w:t> </w:t>
      </w:r>
      <w:r>
        <w:rPr>
          <w:i/>
          <w:sz w:val="22"/>
        </w:rPr>
        <w:t>block</w:t>
      </w:r>
      <w:r>
        <w:rPr>
          <w:i/>
          <w:spacing w:val="-3"/>
          <w:sz w:val="22"/>
        </w:rPr>
        <w:t> </w:t>
      </w:r>
      <w:r>
        <w:rPr>
          <w:i/>
          <w:sz w:val="22"/>
        </w:rPr>
        <w:t>Himatnagar</w:t>
      </w:r>
      <w:r>
        <w:rPr>
          <w:i/>
          <w:spacing w:val="-2"/>
          <w:sz w:val="22"/>
        </w:rPr>
        <w:t> </w:t>
      </w:r>
      <w:r>
        <w:rPr>
          <w:i/>
          <w:sz w:val="22"/>
        </w:rPr>
        <w:t>and</w:t>
      </w:r>
      <w:r>
        <w:rPr>
          <w:i/>
          <w:spacing w:val="-3"/>
          <w:sz w:val="22"/>
        </w:rPr>
        <w:t> </w:t>
      </w:r>
      <w:r>
        <w:rPr>
          <w:i/>
          <w:sz w:val="22"/>
        </w:rPr>
        <w:t>Thasra</w:t>
      </w:r>
      <w:r>
        <w:rPr>
          <w:i/>
          <w:spacing w:val="-2"/>
          <w:sz w:val="22"/>
        </w:rPr>
        <w:t> Participated</w:t>
      </w:r>
    </w:p>
    <w:p>
      <w:pPr>
        <w:pStyle w:val="BodyText"/>
        <w:spacing w:before="75"/>
        <w:rPr>
          <w:i/>
        </w:rPr>
      </w:pPr>
    </w:p>
    <w:p>
      <w:pPr>
        <w:pStyle w:val="Heading2"/>
        <w:jc w:val="left"/>
      </w:pPr>
      <w:r>
        <w:rPr/>
        <w:t>Looking</w:t>
      </w:r>
      <w:r>
        <w:rPr>
          <w:spacing w:val="-4"/>
        </w:rPr>
        <w:t> </w:t>
      </w:r>
      <w:r>
        <w:rPr/>
        <w:t>Ahead:</w:t>
      </w:r>
      <w:r>
        <w:rPr>
          <w:spacing w:val="-4"/>
        </w:rPr>
        <w:t> </w:t>
      </w:r>
      <w:r>
        <w:rPr/>
        <w:t>Stronger</w:t>
      </w:r>
      <w:r>
        <w:rPr>
          <w:spacing w:val="-4"/>
        </w:rPr>
        <w:t> </w:t>
      </w:r>
      <w:r>
        <w:rPr>
          <w:spacing w:val="-2"/>
        </w:rPr>
        <w:t>Together</w:t>
      </w:r>
    </w:p>
    <w:p>
      <w:pPr>
        <w:pStyle w:val="BodyText"/>
        <w:spacing w:before="38"/>
        <w:ind w:left="165"/>
      </w:pPr>
      <w:r>
        <w:rPr/>
        <w:t>To</w:t>
      </w:r>
      <w:r>
        <w:rPr>
          <w:spacing w:val="-4"/>
        </w:rPr>
        <w:t> </w:t>
      </w:r>
      <w:r>
        <w:rPr/>
        <w:t>build</w:t>
      </w:r>
      <w:r>
        <w:rPr>
          <w:spacing w:val="-3"/>
        </w:rPr>
        <w:t> </w:t>
      </w:r>
      <w:r>
        <w:rPr/>
        <w:t>on</w:t>
      </w:r>
      <w:r>
        <w:rPr>
          <w:spacing w:val="-4"/>
        </w:rPr>
        <w:t> </w:t>
      </w:r>
      <w:r>
        <w:rPr/>
        <w:t>the</w:t>
      </w:r>
      <w:r>
        <w:rPr>
          <w:spacing w:val="-3"/>
        </w:rPr>
        <w:t> </w:t>
      </w:r>
      <w:r>
        <w:rPr/>
        <w:t>current</w:t>
      </w:r>
      <w:r>
        <w:rPr>
          <w:spacing w:val="-4"/>
        </w:rPr>
        <w:t> </w:t>
      </w:r>
      <w:r>
        <w:rPr/>
        <w:t>momentum,</w:t>
      </w:r>
      <w:r>
        <w:rPr>
          <w:spacing w:val="-3"/>
        </w:rPr>
        <w:t> </w:t>
      </w:r>
      <w:r>
        <w:rPr/>
        <w:t>Pehchaan</w:t>
      </w:r>
      <w:r>
        <w:rPr>
          <w:spacing w:val="-4"/>
        </w:rPr>
        <w:t> </w:t>
      </w:r>
      <w:r>
        <w:rPr/>
        <w:t>plans</w:t>
      </w:r>
      <w:r>
        <w:rPr>
          <w:spacing w:val="-3"/>
        </w:rPr>
        <w:t> </w:t>
      </w:r>
      <w:r>
        <w:rPr>
          <w:spacing w:val="-5"/>
        </w:rPr>
        <w:t>to:</w:t>
      </w:r>
    </w:p>
    <w:p>
      <w:pPr>
        <w:pStyle w:val="ListParagraph"/>
        <w:numPr>
          <w:ilvl w:val="1"/>
          <w:numId w:val="2"/>
        </w:numPr>
        <w:tabs>
          <w:tab w:pos="525" w:val="left" w:leader="none"/>
          <w:tab w:pos="1811" w:val="left" w:leader="none"/>
          <w:tab w:pos="2596" w:val="left" w:leader="none"/>
          <w:tab w:pos="3748" w:val="left" w:leader="none"/>
          <w:tab w:pos="4191" w:val="left" w:leader="none"/>
          <w:tab w:pos="5134" w:val="left" w:leader="none"/>
          <w:tab w:pos="6323" w:val="left" w:leader="none"/>
          <w:tab w:pos="7621" w:val="left" w:leader="none"/>
          <w:tab w:pos="8198" w:val="left" w:leader="none"/>
        </w:tabs>
        <w:spacing w:line="276" w:lineRule="auto" w:before="38" w:after="0"/>
        <w:ind w:left="525" w:right="591" w:hanging="360"/>
        <w:jc w:val="left"/>
        <w:rPr>
          <w:sz w:val="22"/>
        </w:rPr>
      </w:pPr>
      <w:r>
        <w:rPr>
          <w:spacing w:val="-2"/>
          <w:sz w:val="22"/>
        </w:rPr>
        <w:t>Strengthen</w:t>
      </w:r>
      <w:r>
        <w:rPr>
          <w:sz w:val="22"/>
        </w:rPr>
        <w:tab/>
      </w:r>
      <w:r>
        <w:rPr>
          <w:spacing w:val="-4"/>
          <w:sz w:val="22"/>
        </w:rPr>
        <w:t>Youth</w:t>
      </w:r>
      <w:r>
        <w:rPr>
          <w:sz w:val="22"/>
        </w:rPr>
        <w:tab/>
      </w:r>
      <w:r>
        <w:rPr>
          <w:spacing w:val="-2"/>
          <w:sz w:val="22"/>
        </w:rPr>
        <w:t>Retention</w:t>
      </w:r>
      <w:r>
        <w:rPr>
          <w:sz w:val="22"/>
        </w:rPr>
        <w:tab/>
      </w:r>
      <w:r>
        <w:rPr>
          <w:spacing w:val="-6"/>
          <w:sz w:val="22"/>
        </w:rPr>
        <w:t>by</w:t>
      </w:r>
      <w:r>
        <w:rPr>
          <w:sz w:val="22"/>
        </w:rPr>
        <w:tab/>
      </w:r>
      <w:r>
        <w:rPr>
          <w:spacing w:val="-2"/>
          <w:sz w:val="22"/>
        </w:rPr>
        <w:t>offering</w:t>
      </w:r>
      <w:r>
        <w:rPr>
          <w:sz w:val="22"/>
        </w:rPr>
        <w:tab/>
      </w:r>
      <w:r>
        <w:rPr>
          <w:spacing w:val="-2"/>
          <w:sz w:val="22"/>
        </w:rPr>
        <w:t>structured</w:t>
      </w:r>
      <w:r>
        <w:rPr>
          <w:sz w:val="22"/>
        </w:rPr>
        <w:tab/>
      </w:r>
      <w:r>
        <w:rPr>
          <w:spacing w:val="-2"/>
          <w:sz w:val="22"/>
        </w:rPr>
        <w:t>mentorship</w:t>
      </w:r>
      <w:r>
        <w:rPr>
          <w:sz w:val="22"/>
        </w:rPr>
        <w:tab/>
      </w:r>
      <w:r>
        <w:rPr>
          <w:spacing w:val="-4"/>
          <w:sz w:val="22"/>
        </w:rPr>
        <w:t>and</w:t>
      </w:r>
      <w:r>
        <w:rPr>
          <w:sz w:val="22"/>
        </w:rPr>
        <w:tab/>
      </w:r>
      <w:r>
        <w:rPr>
          <w:spacing w:val="-2"/>
          <w:sz w:val="22"/>
        </w:rPr>
        <w:t>consistent engagement.</w:t>
      </w:r>
    </w:p>
    <w:p>
      <w:pPr>
        <w:pStyle w:val="ListParagraph"/>
        <w:numPr>
          <w:ilvl w:val="1"/>
          <w:numId w:val="2"/>
        </w:numPr>
        <w:tabs>
          <w:tab w:pos="525" w:val="left" w:leader="none"/>
        </w:tabs>
        <w:spacing w:line="276" w:lineRule="auto" w:before="0" w:after="0"/>
        <w:ind w:left="525" w:right="589" w:hanging="360"/>
        <w:jc w:val="left"/>
        <w:rPr>
          <w:sz w:val="22"/>
        </w:rPr>
      </w:pPr>
      <w:r>
        <w:rPr>
          <w:sz w:val="22"/>
        </w:rPr>
        <w:t>Enhance Women’s Leadership Participation by encouraging more female-led community initiatives and inclusive platforms.</w:t>
      </w:r>
    </w:p>
    <w:p>
      <w:pPr>
        <w:pStyle w:val="ListParagraph"/>
        <w:numPr>
          <w:ilvl w:val="1"/>
          <w:numId w:val="2"/>
        </w:numPr>
        <w:tabs>
          <w:tab w:pos="524" w:val="left" w:leader="none"/>
        </w:tabs>
        <w:spacing w:line="240" w:lineRule="auto" w:before="0" w:after="0"/>
        <w:ind w:left="524" w:right="0" w:hanging="359"/>
        <w:jc w:val="left"/>
        <w:rPr>
          <w:sz w:val="22"/>
        </w:rPr>
      </w:pPr>
      <w:r>
        <w:rPr>
          <w:sz w:val="22"/>
        </w:rPr>
        <w:t>Youth</w:t>
      </w:r>
      <w:r>
        <w:rPr>
          <w:spacing w:val="-3"/>
          <w:sz w:val="22"/>
        </w:rPr>
        <w:t> </w:t>
      </w:r>
      <w:r>
        <w:rPr>
          <w:sz w:val="22"/>
        </w:rPr>
        <w:t>Resource</w:t>
      </w:r>
      <w:r>
        <w:rPr>
          <w:spacing w:val="-2"/>
          <w:sz w:val="22"/>
        </w:rPr>
        <w:t> </w:t>
      </w:r>
      <w:r>
        <w:rPr>
          <w:sz w:val="22"/>
        </w:rPr>
        <w:t>Centres</w:t>
      </w:r>
      <w:r>
        <w:rPr>
          <w:spacing w:val="-2"/>
          <w:sz w:val="22"/>
        </w:rPr>
        <w:t> </w:t>
      </w:r>
      <w:r>
        <w:rPr>
          <w:sz w:val="22"/>
        </w:rPr>
        <w:t>at</w:t>
      </w:r>
      <w:r>
        <w:rPr>
          <w:spacing w:val="-2"/>
          <w:sz w:val="22"/>
        </w:rPr>
        <w:t> </w:t>
      </w:r>
      <w:r>
        <w:rPr>
          <w:sz w:val="22"/>
        </w:rPr>
        <w:t>the</w:t>
      </w:r>
      <w:r>
        <w:rPr>
          <w:spacing w:val="-2"/>
          <w:sz w:val="22"/>
        </w:rPr>
        <w:t> </w:t>
      </w:r>
      <w:r>
        <w:rPr>
          <w:sz w:val="22"/>
        </w:rPr>
        <w:t>Block-level</w:t>
      </w:r>
      <w:r>
        <w:rPr>
          <w:spacing w:val="-3"/>
          <w:sz w:val="22"/>
        </w:rPr>
        <w:t> </w:t>
      </w:r>
      <w:r>
        <w:rPr>
          <w:sz w:val="22"/>
        </w:rPr>
        <w:t>in</w:t>
      </w:r>
      <w:r>
        <w:rPr>
          <w:spacing w:val="-2"/>
          <w:sz w:val="22"/>
        </w:rPr>
        <w:t> </w:t>
      </w:r>
      <w:r>
        <w:rPr>
          <w:sz w:val="22"/>
        </w:rPr>
        <w:t>7</w:t>
      </w:r>
      <w:r>
        <w:rPr>
          <w:spacing w:val="-2"/>
          <w:sz w:val="22"/>
        </w:rPr>
        <w:t> </w:t>
      </w:r>
      <w:r>
        <w:rPr>
          <w:sz w:val="22"/>
        </w:rPr>
        <w:t>Blocks</w:t>
      </w:r>
      <w:r>
        <w:rPr>
          <w:spacing w:val="-2"/>
          <w:sz w:val="22"/>
        </w:rPr>
        <w:t> </w:t>
      </w:r>
      <w:r>
        <w:rPr>
          <w:sz w:val="22"/>
        </w:rPr>
        <w:t>of</w:t>
      </w:r>
      <w:r>
        <w:rPr>
          <w:spacing w:val="-2"/>
          <w:sz w:val="22"/>
        </w:rPr>
        <w:t> </w:t>
      </w:r>
      <w:r>
        <w:rPr>
          <w:sz w:val="22"/>
        </w:rPr>
        <w:t>5</w:t>
      </w:r>
      <w:r>
        <w:rPr>
          <w:spacing w:val="-2"/>
          <w:sz w:val="22"/>
        </w:rPr>
        <w:t> Districts.</w:t>
      </w:r>
    </w:p>
    <w:p>
      <w:pPr>
        <w:pStyle w:val="ListParagraph"/>
        <w:spacing w:after="0" w:line="240" w:lineRule="auto"/>
        <w:jc w:val="left"/>
        <w:rPr>
          <w:sz w:val="22"/>
        </w:rPr>
        <w:sectPr>
          <w:pgSz w:w="11910" w:h="16840"/>
          <w:pgMar w:header="0" w:footer="1001" w:top="1340" w:bottom="1200" w:left="1275" w:right="850"/>
        </w:sectPr>
      </w:pPr>
    </w:p>
    <w:p>
      <w:pPr>
        <w:pStyle w:val="BodyText"/>
        <w:ind w:left="136"/>
        <w:rPr>
          <w:sz w:val="20"/>
        </w:rPr>
      </w:pPr>
      <w:r>
        <w:rPr>
          <w:sz w:val="20"/>
        </w:rPr>
        <mc:AlternateContent>
          <mc:Choice Requires="wps">
            <w:drawing>
              <wp:inline distT="0" distB="0" distL="0" distR="0">
                <wp:extent cx="5767705" cy="694055"/>
                <wp:effectExtent l="0" t="0" r="0" b="0"/>
                <wp:docPr id="13" name="Textbox 13"/>
                <wp:cNvGraphicFramePr>
                  <a:graphicFrameLocks/>
                </wp:cNvGraphicFramePr>
                <a:graphic>
                  <a:graphicData uri="http://schemas.microsoft.com/office/word/2010/wordprocessingShape">
                    <wps:wsp>
                      <wps:cNvPr id="13" name="Textbox 13"/>
                      <wps:cNvSpPr txBox="1"/>
                      <wps:spPr>
                        <a:xfrm>
                          <a:off x="0" y="0"/>
                          <a:ext cx="5767705" cy="694055"/>
                        </a:xfrm>
                        <a:prstGeom prst="rect">
                          <a:avLst/>
                        </a:prstGeom>
                        <a:solidFill>
                          <a:srgbClr val="BCD6ED"/>
                        </a:solidFill>
                      </wps:spPr>
                      <wps:txbx>
                        <w:txbxContent>
                          <w:p>
                            <w:pPr>
                              <w:pStyle w:val="BodyText"/>
                              <w:spacing w:before="20"/>
                              <w:rPr>
                                <w:color w:val="000000"/>
                              </w:rPr>
                            </w:pPr>
                          </w:p>
                          <w:p>
                            <w:pPr>
                              <w:tabs>
                                <w:tab w:pos="1859" w:val="left" w:leader="none"/>
                              </w:tabs>
                              <w:spacing w:line="259" w:lineRule="auto" w:before="0"/>
                              <w:ind w:left="28" w:right="33" w:firstLine="0"/>
                              <w:jc w:val="left"/>
                              <w:rPr>
                                <w:b/>
                                <w:color w:val="000000"/>
                                <w:sz w:val="22"/>
                              </w:rPr>
                            </w:pPr>
                            <w:r>
                              <w:rPr>
                                <w:b/>
                                <w:color w:val="000000"/>
                                <w:sz w:val="22"/>
                              </w:rPr>
                              <w:t>OBJECTIVE</w:t>
                            </w:r>
                            <w:r>
                              <w:rPr>
                                <w:b/>
                                <w:color w:val="000000"/>
                                <w:spacing w:val="40"/>
                                <w:sz w:val="22"/>
                              </w:rPr>
                              <w:t> </w:t>
                            </w:r>
                            <w:r>
                              <w:rPr>
                                <w:b/>
                                <w:color w:val="000000"/>
                                <w:sz w:val="22"/>
                              </w:rPr>
                              <w:t>3:</w:t>
                              <w:tab/>
                              <w:t>TO</w:t>
                            </w:r>
                            <w:r>
                              <w:rPr>
                                <w:b/>
                                <w:color w:val="000000"/>
                                <w:spacing w:val="40"/>
                                <w:sz w:val="22"/>
                              </w:rPr>
                              <w:t> </w:t>
                            </w:r>
                            <w:r>
                              <w:rPr>
                                <w:b/>
                                <w:color w:val="000000"/>
                                <w:sz w:val="22"/>
                              </w:rPr>
                              <w:t>WORK</w:t>
                            </w:r>
                            <w:r>
                              <w:rPr>
                                <w:b/>
                                <w:color w:val="000000"/>
                                <w:spacing w:val="40"/>
                                <w:sz w:val="22"/>
                              </w:rPr>
                              <w:t> </w:t>
                            </w:r>
                            <w:r>
                              <w:rPr>
                                <w:b/>
                                <w:color w:val="000000"/>
                                <w:sz w:val="22"/>
                              </w:rPr>
                              <w:t>TOWARDS</w:t>
                            </w:r>
                            <w:r>
                              <w:rPr>
                                <w:b/>
                                <w:color w:val="000000"/>
                                <w:spacing w:val="40"/>
                                <w:sz w:val="22"/>
                              </w:rPr>
                              <w:t> </w:t>
                            </w:r>
                            <w:r>
                              <w:rPr>
                                <w:b/>
                                <w:color w:val="000000"/>
                                <w:sz w:val="22"/>
                              </w:rPr>
                              <w:t>THE</w:t>
                            </w:r>
                            <w:r>
                              <w:rPr>
                                <w:b/>
                                <w:color w:val="000000"/>
                                <w:spacing w:val="40"/>
                                <w:sz w:val="22"/>
                              </w:rPr>
                              <w:t> </w:t>
                            </w:r>
                            <w:r>
                              <w:rPr>
                                <w:b/>
                                <w:color w:val="000000"/>
                                <w:sz w:val="22"/>
                              </w:rPr>
                              <w:t>CREATION</w:t>
                            </w:r>
                            <w:r>
                              <w:rPr>
                                <w:b/>
                                <w:color w:val="000000"/>
                                <w:spacing w:val="40"/>
                                <w:sz w:val="22"/>
                              </w:rPr>
                              <w:t> </w:t>
                            </w:r>
                            <w:r>
                              <w:rPr>
                                <w:b/>
                                <w:color w:val="000000"/>
                                <w:sz w:val="22"/>
                              </w:rPr>
                              <w:t>OF</w:t>
                            </w:r>
                            <w:r>
                              <w:rPr>
                                <w:b/>
                                <w:color w:val="000000"/>
                                <w:spacing w:val="40"/>
                                <w:sz w:val="22"/>
                              </w:rPr>
                              <w:t> </w:t>
                            </w:r>
                            <w:r>
                              <w:rPr>
                                <w:b/>
                                <w:color w:val="000000"/>
                                <w:sz w:val="22"/>
                              </w:rPr>
                              <w:t>A</w:t>
                            </w:r>
                            <w:r>
                              <w:rPr>
                                <w:b/>
                                <w:color w:val="000000"/>
                                <w:spacing w:val="40"/>
                                <w:sz w:val="22"/>
                              </w:rPr>
                              <w:t> </w:t>
                            </w:r>
                            <w:r>
                              <w:rPr>
                                <w:b/>
                                <w:color w:val="000000"/>
                                <w:sz w:val="22"/>
                              </w:rPr>
                              <w:t>HUMAN</w:t>
                            </w:r>
                            <w:r>
                              <w:rPr>
                                <w:b/>
                                <w:color w:val="000000"/>
                                <w:spacing w:val="40"/>
                                <w:sz w:val="22"/>
                              </w:rPr>
                              <w:t> </w:t>
                            </w:r>
                            <w:r>
                              <w:rPr>
                                <w:b/>
                                <w:color w:val="000000"/>
                                <w:sz w:val="22"/>
                              </w:rPr>
                              <w:t>ORDER</w:t>
                            </w:r>
                            <w:r>
                              <w:rPr>
                                <w:b/>
                                <w:color w:val="000000"/>
                                <w:spacing w:val="40"/>
                                <w:sz w:val="22"/>
                              </w:rPr>
                              <w:t> </w:t>
                            </w:r>
                            <w:r>
                              <w:rPr>
                                <w:b/>
                                <w:color w:val="000000"/>
                                <w:sz w:val="22"/>
                              </w:rPr>
                              <w:t>IN SOCIETY FOUNDED ON UNIVERSAL LOVE FOR ALL CREATURE</w:t>
                            </w:r>
                          </w:p>
                        </w:txbxContent>
                      </wps:txbx>
                      <wps:bodyPr wrap="square" lIns="0" tIns="0" rIns="0" bIns="0" rtlCol="0">
                        <a:noAutofit/>
                      </wps:bodyPr>
                    </wps:wsp>
                  </a:graphicData>
                </a:graphic>
              </wp:inline>
            </w:drawing>
          </mc:Choice>
          <mc:Fallback>
            <w:pict>
              <v:shape style="width:454.15pt;height:54.65pt;mso-position-horizontal-relative:char;mso-position-vertical-relative:line" type="#_x0000_t202" id="docshape5" filled="true" fillcolor="#bcd6ed" stroked="false">
                <w10:anchorlock/>
                <v:textbox inset="0,0,0,0">
                  <w:txbxContent>
                    <w:p>
                      <w:pPr>
                        <w:pStyle w:val="BodyText"/>
                        <w:spacing w:before="20"/>
                        <w:rPr>
                          <w:color w:val="000000"/>
                        </w:rPr>
                      </w:pPr>
                    </w:p>
                    <w:p>
                      <w:pPr>
                        <w:tabs>
                          <w:tab w:pos="1859" w:val="left" w:leader="none"/>
                        </w:tabs>
                        <w:spacing w:line="259" w:lineRule="auto" w:before="0"/>
                        <w:ind w:left="28" w:right="33" w:firstLine="0"/>
                        <w:jc w:val="left"/>
                        <w:rPr>
                          <w:b/>
                          <w:color w:val="000000"/>
                          <w:sz w:val="22"/>
                        </w:rPr>
                      </w:pPr>
                      <w:r>
                        <w:rPr>
                          <w:b/>
                          <w:color w:val="000000"/>
                          <w:sz w:val="22"/>
                        </w:rPr>
                        <w:t>OBJECTIVE</w:t>
                      </w:r>
                      <w:r>
                        <w:rPr>
                          <w:b/>
                          <w:color w:val="000000"/>
                          <w:spacing w:val="40"/>
                          <w:sz w:val="22"/>
                        </w:rPr>
                        <w:t> </w:t>
                      </w:r>
                      <w:r>
                        <w:rPr>
                          <w:b/>
                          <w:color w:val="000000"/>
                          <w:sz w:val="22"/>
                        </w:rPr>
                        <w:t>3:</w:t>
                        <w:tab/>
                        <w:t>TO</w:t>
                      </w:r>
                      <w:r>
                        <w:rPr>
                          <w:b/>
                          <w:color w:val="000000"/>
                          <w:spacing w:val="40"/>
                          <w:sz w:val="22"/>
                        </w:rPr>
                        <w:t> </w:t>
                      </w:r>
                      <w:r>
                        <w:rPr>
                          <w:b/>
                          <w:color w:val="000000"/>
                          <w:sz w:val="22"/>
                        </w:rPr>
                        <w:t>WORK</w:t>
                      </w:r>
                      <w:r>
                        <w:rPr>
                          <w:b/>
                          <w:color w:val="000000"/>
                          <w:spacing w:val="40"/>
                          <w:sz w:val="22"/>
                        </w:rPr>
                        <w:t> </w:t>
                      </w:r>
                      <w:r>
                        <w:rPr>
                          <w:b/>
                          <w:color w:val="000000"/>
                          <w:sz w:val="22"/>
                        </w:rPr>
                        <w:t>TOWARDS</w:t>
                      </w:r>
                      <w:r>
                        <w:rPr>
                          <w:b/>
                          <w:color w:val="000000"/>
                          <w:spacing w:val="40"/>
                          <w:sz w:val="22"/>
                        </w:rPr>
                        <w:t> </w:t>
                      </w:r>
                      <w:r>
                        <w:rPr>
                          <w:b/>
                          <w:color w:val="000000"/>
                          <w:sz w:val="22"/>
                        </w:rPr>
                        <w:t>THE</w:t>
                      </w:r>
                      <w:r>
                        <w:rPr>
                          <w:b/>
                          <w:color w:val="000000"/>
                          <w:spacing w:val="40"/>
                          <w:sz w:val="22"/>
                        </w:rPr>
                        <w:t> </w:t>
                      </w:r>
                      <w:r>
                        <w:rPr>
                          <w:b/>
                          <w:color w:val="000000"/>
                          <w:sz w:val="22"/>
                        </w:rPr>
                        <w:t>CREATION</w:t>
                      </w:r>
                      <w:r>
                        <w:rPr>
                          <w:b/>
                          <w:color w:val="000000"/>
                          <w:spacing w:val="40"/>
                          <w:sz w:val="22"/>
                        </w:rPr>
                        <w:t> </w:t>
                      </w:r>
                      <w:r>
                        <w:rPr>
                          <w:b/>
                          <w:color w:val="000000"/>
                          <w:sz w:val="22"/>
                        </w:rPr>
                        <w:t>OF</w:t>
                      </w:r>
                      <w:r>
                        <w:rPr>
                          <w:b/>
                          <w:color w:val="000000"/>
                          <w:spacing w:val="40"/>
                          <w:sz w:val="22"/>
                        </w:rPr>
                        <w:t> </w:t>
                      </w:r>
                      <w:r>
                        <w:rPr>
                          <w:b/>
                          <w:color w:val="000000"/>
                          <w:sz w:val="22"/>
                        </w:rPr>
                        <w:t>A</w:t>
                      </w:r>
                      <w:r>
                        <w:rPr>
                          <w:b/>
                          <w:color w:val="000000"/>
                          <w:spacing w:val="40"/>
                          <w:sz w:val="22"/>
                        </w:rPr>
                        <w:t> </w:t>
                      </w:r>
                      <w:r>
                        <w:rPr>
                          <w:b/>
                          <w:color w:val="000000"/>
                          <w:sz w:val="22"/>
                        </w:rPr>
                        <w:t>HUMAN</w:t>
                      </w:r>
                      <w:r>
                        <w:rPr>
                          <w:b/>
                          <w:color w:val="000000"/>
                          <w:spacing w:val="40"/>
                          <w:sz w:val="22"/>
                        </w:rPr>
                        <w:t> </w:t>
                      </w:r>
                      <w:r>
                        <w:rPr>
                          <w:b/>
                          <w:color w:val="000000"/>
                          <w:sz w:val="22"/>
                        </w:rPr>
                        <w:t>ORDER</w:t>
                      </w:r>
                      <w:r>
                        <w:rPr>
                          <w:b/>
                          <w:color w:val="000000"/>
                          <w:spacing w:val="40"/>
                          <w:sz w:val="22"/>
                        </w:rPr>
                        <w:t> </w:t>
                      </w:r>
                      <w:r>
                        <w:rPr>
                          <w:b/>
                          <w:color w:val="000000"/>
                          <w:sz w:val="22"/>
                        </w:rPr>
                        <w:t>IN SOCIETY FOUNDED ON UNIVERSAL LOVE FOR ALL CREATURE</w:t>
                      </w:r>
                    </w:p>
                  </w:txbxContent>
                </v:textbox>
                <v:fill type="solid"/>
              </v:shape>
            </w:pict>
          </mc:Fallback>
        </mc:AlternateContent>
      </w:r>
      <w:r>
        <w:rPr>
          <w:sz w:val="20"/>
        </w:rPr>
      </w:r>
    </w:p>
    <w:p>
      <w:pPr>
        <w:pStyle w:val="BodyText"/>
      </w:pPr>
    </w:p>
    <w:p>
      <w:pPr>
        <w:pStyle w:val="BodyText"/>
        <w:spacing w:before="22"/>
      </w:pPr>
    </w:p>
    <w:p>
      <w:pPr>
        <w:pStyle w:val="Heading2"/>
        <w:tabs>
          <w:tab w:pos="9219" w:val="left" w:leader="none"/>
        </w:tabs>
        <w:ind w:firstLine="66"/>
      </w:pPr>
      <w:r>
        <w:rPr>
          <w:color w:val="000000"/>
          <w:shd w:fill="FFE699" w:color="auto" w:val="clear"/>
        </w:rPr>
        <w:t>A.</w:t>
      </w:r>
      <w:r>
        <w:rPr>
          <w:color w:val="000000"/>
          <w:spacing w:val="68"/>
          <w:shd w:fill="FFE699" w:color="auto" w:val="clear"/>
        </w:rPr>
        <w:t> </w:t>
      </w:r>
      <w:r>
        <w:rPr>
          <w:color w:val="000000"/>
          <w:shd w:fill="FFE699" w:color="auto" w:val="clear"/>
        </w:rPr>
        <w:t>Revitalizing</w:t>
      </w:r>
      <w:r>
        <w:rPr>
          <w:color w:val="000000"/>
          <w:spacing w:val="-4"/>
          <w:shd w:fill="FFE699" w:color="auto" w:val="clear"/>
        </w:rPr>
        <w:t> </w:t>
      </w:r>
      <w:r>
        <w:rPr>
          <w:color w:val="000000"/>
          <w:shd w:fill="FFE699" w:color="auto" w:val="clear"/>
        </w:rPr>
        <w:t>Rainfed</w:t>
      </w:r>
      <w:r>
        <w:rPr>
          <w:color w:val="000000"/>
          <w:spacing w:val="-3"/>
          <w:shd w:fill="FFE699" w:color="auto" w:val="clear"/>
        </w:rPr>
        <w:t> </w:t>
      </w:r>
      <w:r>
        <w:rPr>
          <w:color w:val="000000"/>
          <w:shd w:fill="FFE699" w:color="auto" w:val="clear"/>
        </w:rPr>
        <w:t>Areas</w:t>
      </w:r>
      <w:r>
        <w:rPr>
          <w:color w:val="000000"/>
          <w:spacing w:val="-3"/>
          <w:shd w:fill="FFE699" w:color="auto" w:val="clear"/>
        </w:rPr>
        <w:t> </w:t>
      </w:r>
      <w:r>
        <w:rPr>
          <w:color w:val="000000"/>
          <w:shd w:fill="FFE699" w:color="auto" w:val="clear"/>
        </w:rPr>
        <w:t>Network</w:t>
      </w:r>
      <w:r>
        <w:rPr>
          <w:color w:val="000000"/>
          <w:spacing w:val="-4"/>
          <w:shd w:fill="FFE699" w:color="auto" w:val="clear"/>
        </w:rPr>
        <w:t> </w:t>
      </w:r>
      <w:r>
        <w:rPr>
          <w:color w:val="000000"/>
          <w:shd w:fill="FFE699" w:color="auto" w:val="clear"/>
        </w:rPr>
        <w:t>(RRAN)</w:t>
      </w:r>
      <w:r>
        <w:rPr>
          <w:color w:val="000000"/>
          <w:spacing w:val="-3"/>
          <w:shd w:fill="FFE699" w:color="auto" w:val="clear"/>
        </w:rPr>
        <w:t> </w:t>
      </w:r>
      <w:r>
        <w:rPr>
          <w:color w:val="000000"/>
          <w:shd w:fill="FFE699" w:color="auto" w:val="clear"/>
        </w:rPr>
        <w:t>–</w:t>
      </w:r>
      <w:r>
        <w:rPr>
          <w:color w:val="000000"/>
          <w:spacing w:val="-3"/>
          <w:shd w:fill="FFE699" w:color="auto" w:val="clear"/>
        </w:rPr>
        <w:t> </w:t>
      </w:r>
      <w:r>
        <w:rPr>
          <w:color w:val="000000"/>
          <w:spacing w:val="-5"/>
          <w:shd w:fill="FFE699" w:color="auto" w:val="clear"/>
        </w:rPr>
        <w:t>IST</w:t>
      </w:r>
      <w:r>
        <w:rPr>
          <w:color w:val="000000"/>
          <w:shd w:fill="FFE699" w:color="auto" w:val="clear"/>
        </w:rPr>
        <w:tab/>
      </w:r>
    </w:p>
    <w:p>
      <w:pPr>
        <w:pStyle w:val="BodyText"/>
        <w:spacing w:line="276" w:lineRule="auto" w:before="198"/>
        <w:ind w:left="165" w:right="591"/>
        <w:jc w:val="both"/>
      </w:pPr>
      <w:r>
        <w:rPr/>
        <w:t>In 2024–2025, the Revitalizing Rainfed Agriculture Network (RRAN) deepened its engagement across communication, capacity building, and community-led advocacy. The network focused on strengthening its internal and external communication strategies, revitalizing its brand identity, and expanding the millet ecosystem as a key intervention in nutrition-sensitive agriculture. Through collaborative consultations, workshops, creative storytelling, and inclusive outreach, RRAN significantly advanced its mission to make rainfed farming systems more resilient, visible, and people-centered.</w:t>
      </w:r>
    </w:p>
    <w:p>
      <w:pPr>
        <w:pStyle w:val="Heading2"/>
        <w:spacing w:before="160"/>
      </w:pPr>
      <w:r>
        <w:rPr/>
        <w:t>I.</w:t>
      </w:r>
      <w:r>
        <w:rPr>
          <w:spacing w:val="-5"/>
        </w:rPr>
        <w:t> </w:t>
      </w:r>
      <w:r>
        <w:rPr/>
        <w:t>Communication</w:t>
      </w:r>
      <w:r>
        <w:rPr>
          <w:spacing w:val="-5"/>
        </w:rPr>
        <w:t> </w:t>
      </w:r>
      <w:r>
        <w:rPr/>
        <w:t>and</w:t>
      </w:r>
      <w:r>
        <w:rPr>
          <w:spacing w:val="-5"/>
        </w:rPr>
        <w:t> </w:t>
      </w:r>
      <w:r>
        <w:rPr/>
        <w:t>Strategic</w:t>
      </w:r>
      <w:r>
        <w:rPr>
          <w:spacing w:val="-4"/>
        </w:rPr>
        <w:t> </w:t>
      </w:r>
      <w:r>
        <w:rPr/>
        <w:t>Positioning:</w:t>
      </w:r>
      <w:r>
        <w:rPr>
          <w:spacing w:val="-5"/>
        </w:rPr>
        <w:t> </w:t>
      </w:r>
      <w:r>
        <w:rPr/>
        <w:t>Strengthening</w:t>
      </w:r>
      <w:r>
        <w:rPr>
          <w:spacing w:val="-5"/>
        </w:rPr>
        <w:t> </w:t>
      </w:r>
      <w:r>
        <w:rPr/>
        <w:t>the</w:t>
      </w:r>
      <w:r>
        <w:rPr>
          <w:spacing w:val="-5"/>
        </w:rPr>
        <w:t> </w:t>
      </w:r>
      <w:r>
        <w:rPr/>
        <w:t>RRAN</w:t>
      </w:r>
      <w:r>
        <w:rPr>
          <w:spacing w:val="-4"/>
        </w:rPr>
        <w:t> </w:t>
      </w:r>
      <w:r>
        <w:rPr>
          <w:spacing w:val="-2"/>
        </w:rPr>
        <w:t>Identity</w:t>
      </w:r>
    </w:p>
    <w:p>
      <w:pPr>
        <w:pStyle w:val="ListParagraph"/>
        <w:numPr>
          <w:ilvl w:val="0"/>
          <w:numId w:val="3"/>
        </w:numPr>
        <w:tabs>
          <w:tab w:pos="416" w:val="left" w:leader="none"/>
        </w:tabs>
        <w:spacing w:line="276" w:lineRule="auto" w:before="198" w:after="0"/>
        <w:ind w:left="165" w:right="591" w:firstLine="0"/>
        <w:jc w:val="both"/>
        <w:rPr>
          <w:sz w:val="22"/>
        </w:rPr>
      </w:pPr>
      <w:r>
        <w:rPr>
          <w:b/>
          <w:sz w:val="22"/>
        </w:rPr>
        <w:t>Communication Capacity Assessment:</w:t>
      </w:r>
      <w:r>
        <w:rPr>
          <w:b/>
          <w:spacing w:val="40"/>
          <w:sz w:val="22"/>
        </w:rPr>
        <w:t> </w:t>
      </w:r>
      <w:r>
        <w:rPr>
          <w:sz w:val="22"/>
        </w:rPr>
        <w:t>To assess and enhance partner organizations' communication capabilities, RRAN initiated a Baseline Assessment across its network. Though initial participation was lower than expected, adaptive engagement strategies were introduced to build ownership. The assessment seeks to identify strengths, gaps, and opportunities for capacity development in strategic storytelling, media engagement, and advocacy. The findings will inform bespoke support structures that align with grassroots contexts and digital possibilities.</w:t>
      </w:r>
    </w:p>
    <w:p>
      <w:pPr>
        <w:pStyle w:val="ListParagraph"/>
        <w:numPr>
          <w:ilvl w:val="0"/>
          <w:numId w:val="3"/>
        </w:numPr>
        <w:tabs>
          <w:tab w:pos="488" w:val="left" w:leader="none"/>
        </w:tabs>
        <w:spacing w:line="276" w:lineRule="auto" w:before="160" w:after="0"/>
        <w:ind w:left="165" w:right="588" w:firstLine="0"/>
        <w:jc w:val="both"/>
        <w:rPr>
          <w:sz w:val="22"/>
        </w:rPr>
      </w:pPr>
      <w:r>
        <w:rPr>
          <w:b/>
          <w:sz w:val="22"/>
        </w:rPr>
        <w:t>Visual and Print Engagement Tools:</w:t>
      </w:r>
      <w:r>
        <w:rPr>
          <w:b/>
          <w:spacing w:val="40"/>
          <w:sz w:val="22"/>
        </w:rPr>
        <w:t> </w:t>
      </w:r>
      <w:r>
        <w:rPr>
          <w:sz w:val="22"/>
        </w:rPr>
        <w:t>Two creative communication tools are in development to drive continuous public engagement:</w:t>
      </w:r>
    </w:p>
    <w:p>
      <w:pPr>
        <w:pStyle w:val="ListParagraph"/>
        <w:numPr>
          <w:ilvl w:val="1"/>
          <w:numId w:val="3"/>
        </w:numPr>
        <w:tabs>
          <w:tab w:pos="885" w:val="left" w:leader="none"/>
        </w:tabs>
        <w:spacing w:line="276" w:lineRule="auto" w:before="160" w:after="0"/>
        <w:ind w:left="885" w:right="588" w:hanging="360"/>
        <w:jc w:val="both"/>
        <w:rPr>
          <w:sz w:val="22"/>
        </w:rPr>
      </w:pPr>
      <w:r>
        <w:rPr>
          <w:b/>
          <w:sz w:val="22"/>
        </w:rPr>
        <w:t>RRAN Calendar</w:t>
      </w:r>
      <w:r>
        <w:rPr>
          <w:sz w:val="22"/>
        </w:rPr>
        <w:t>: A visually engaging calendar is being developed to demystify complex agricultural practices. Monthly infographics and case studies will spotlight indigenous farming innovations, making rainfed agriculture accessible to a wider </w:t>
      </w:r>
      <w:r>
        <w:rPr>
          <w:spacing w:val="-2"/>
          <w:sz w:val="22"/>
        </w:rPr>
        <w:t>audience.</w:t>
      </w:r>
    </w:p>
    <w:p>
      <w:pPr>
        <w:pStyle w:val="ListParagraph"/>
        <w:numPr>
          <w:ilvl w:val="1"/>
          <w:numId w:val="3"/>
        </w:numPr>
        <w:tabs>
          <w:tab w:pos="885" w:val="left" w:leader="none"/>
        </w:tabs>
        <w:spacing w:line="276" w:lineRule="auto" w:before="160" w:after="0"/>
        <w:ind w:left="885" w:right="588" w:hanging="360"/>
        <w:jc w:val="both"/>
        <w:rPr>
          <w:sz w:val="22"/>
        </w:rPr>
      </w:pPr>
      <w:r>
        <w:rPr>
          <w:b/>
          <w:sz w:val="22"/>
        </w:rPr>
        <w:t>RRAN Newsletter</w:t>
      </w:r>
      <w:r>
        <w:rPr>
          <w:sz w:val="22"/>
        </w:rPr>
        <w:t>: Designed as a bridge between grassroots work and broader public and policy engagement, the newsletter will highlight research insights, network collaborations, and real-world impacts. It aims to simplify technical language for funders, civil society, and the media while creating interactive pathways for </w:t>
      </w:r>
      <w:r>
        <w:rPr>
          <w:spacing w:val="-2"/>
          <w:sz w:val="22"/>
        </w:rPr>
        <w:t>engagement.</w:t>
      </w:r>
    </w:p>
    <w:p>
      <w:pPr>
        <w:pStyle w:val="ListParagraph"/>
        <w:numPr>
          <w:ilvl w:val="0"/>
          <w:numId w:val="3"/>
        </w:numPr>
        <w:tabs>
          <w:tab w:pos="448" w:val="left" w:leader="none"/>
        </w:tabs>
        <w:spacing w:line="276" w:lineRule="auto" w:before="160" w:after="0"/>
        <w:ind w:left="165" w:right="589" w:firstLine="0"/>
        <w:jc w:val="both"/>
        <w:rPr>
          <w:sz w:val="22"/>
        </w:rPr>
      </w:pPr>
      <w:r>
        <w:rPr>
          <w:b/>
          <w:sz w:val="22"/>
        </w:rPr>
        <w:t>Key Learnings and Internal Alignment:</w:t>
      </w:r>
      <w:r>
        <w:rPr>
          <w:b/>
          <w:spacing w:val="40"/>
          <w:sz w:val="22"/>
        </w:rPr>
        <w:t> </w:t>
      </w:r>
      <w:r>
        <w:rPr>
          <w:sz w:val="22"/>
        </w:rPr>
        <w:t>This period underscored the importance of simplifying technical language without compromising content depth. Tools like the presentation and newsletter demonstrated the value of credible, consistent communication. Internally, RRAN’s communication strategy is increasingly aligned with global narratives and grounded realities. The capacity-building of core teams is beginning to yield more agile and strategic communication outputs.</w:t>
      </w:r>
    </w:p>
    <w:p>
      <w:pPr>
        <w:pStyle w:val="ListParagraph"/>
        <w:numPr>
          <w:ilvl w:val="0"/>
          <w:numId w:val="3"/>
        </w:numPr>
        <w:tabs>
          <w:tab w:pos="426" w:val="left" w:leader="none"/>
        </w:tabs>
        <w:spacing w:line="276" w:lineRule="auto" w:before="160" w:after="0"/>
        <w:ind w:left="165" w:right="589" w:firstLine="0"/>
        <w:jc w:val="both"/>
        <w:rPr>
          <w:sz w:val="22"/>
        </w:rPr>
      </w:pPr>
      <w:r>
        <w:rPr>
          <w:b/>
          <w:sz w:val="22"/>
        </w:rPr>
        <w:t>Learnings and Evolving Strategy:</w:t>
      </w:r>
      <w:r>
        <w:rPr>
          <w:b/>
          <w:spacing w:val="40"/>
          <w:sz w:val="22"/>
        </w:rPr>
        <w:t> </w:t>
      </w:r>
      <w:r>
        <w:rPr>
          <w:sz w:val="22"/>
        </w:rPr>
        <w:t>The strong demand for hands-on training and local institution building highlighted the need for long-term support systems around millets. Processing technologies, market access, and culinary adaptation remain crucial barriers. By shifting</w:t>
      </w:r>
      <w:r>
        <w:rPr>
          <w:spacing w:val="35"/>
          <w:sz w:val="22"/>
        </w:rPr>
        <w:t> </w:t>
      </w:r>
      <w:r>
        <w:rPr>
          <w:sz w:val="22"/>
        </w:rPr>
        <w:t>its</w:t>
      </w:r>
      <w:r>
        <w:rPr>
          <w:spacing w:val="35"/>
          <w:sz w:val="22"/>
        </w:rPr>
        <w:t> </w:t>
      </w:r>
      <w:r>
        <w:rPr>
          <w:sz w:val="22"/>
        </w:rPr>
        <w:t>emphasis</w:t>
      </w:r>
      <w:r>
        <w:rPr>
          <w:spacing w:val="35"/>
          <w:sz w:val="22"/>
        </w:rPr>
        <w:t> </w:t>
      </w:r>
      <w:r>
        <w:rPr>
          <w:sz w:val="22"/>
        </w:rPr>
        <w:t>from</w:t>
      </w:r>
      <w:r>
        <w:rPr>
          <w:spacing w:val="35"/>
          <w:sz w:val="22"/>
        </w:rPr>
        <w:t> </w:t>
      </w:r>
      <w:r>
        <w:rPr>
          <w:sz w:val="22"/>
        </w:rPr>
        <w:t>consultations</w:t>
      </w:r>
      <w:r>
        <w:rPr>
          <w:spacing w:val="35"/>
          <w:sz w:val="22"/>
        </w:rPr>
        <w:t> </w:t>
      </w:r>
      <w:r>
        <w:rPr>
          <w:sz w:val="22"/>
        </w:rPr>
        <w:t>to</w:t>
      </w:r>
      <w:r>
        <w:rPr>
          <w:spacing w:val="35"/>
          <w:sz w:val="22"/>
        </w:rPr>
        <w:t> </w:t>
      </w:r>
      <w:r>
        <w:rPr>
          <w:sz w:val="22"/>
        </w:rPr>
        <w:t>workshops,</w:t>
      </w:r>
      <w:r>
        <w:rPr>
          <w:spacing w:val="35"/>
          <w:sz w:val="22"/>
        </w:rPr>
        <w:t> </w:t>
      </w:r>
      <w:r>
        <w:rPr>
          <w:sz w:val="22"/>
        </w:rPr>
        <w:t>the</w:t>
      </w:r>
      <w:r>
        <w:rPr>
          <w:spacing w:val="35"/>
          <w:sz w:val="22"/>
        </w:rPr>
        <w:t> </w:t>
      </w:r>
      <w:r>
        <w:rPr>
          <w:sz w:val="22"/>
        </w:rPr>
        <w:t>network</w:t>
      </w:r>
      <w:r>
        <w:rPr>
          <w:spacing w:val="35"/>
          <w:sz w:val="22"/>
        </w:rPr>
        <w:t> </w:t>
      </w:r>
      <w:r>
        <w:rPr>
          <w:sz w:val="22"/>
        </w:rPr>
        <w:t>improved</w:t>
      </w:r>
      <w:r>
        <w:rPr>
          <w:spacing w:val="35"/>
          <w:sz w:val="22"/>
        </w:rPr>
        <w:t> </w:t>
      </w:r>
      <w:r>
        <w:rPr>
          <w:sz w:val="22"/>
        </w:rPr>
        <w:t>its</w:t>
      </w:r>
      <w:r>
        <w:rPr>
          <w:spacing w:val="35"/>
          <w:sz w:val="22"/>
        </w:rPr>
        <w:t> </w:t>
      </w:r>
      <w:r>
        <w:rPr>
          <w:sz w:val="22"/>
        </w:rPr>
        <w:t>ability</w:t>
      </w:r>
      <w:r>
        <w:rPr>
          <w:spacing w:val="35"/>
          <w:sz w:val="22"/>
        </w:rPr>
        <w:t> </w:t>
      </w:r>
      <w:r>
        <w:rPr>
          <w:sz w:val="22"/>
        </w:rPr>
        <w:t>to</w:t>
      </w:r>
    </w:p>
    <w:p>
      <w:pPr>
        <w:pStyle w:val="ListParagraph"/>
        <w:spacing w:after="0" w:line="276" w:lineRule="auto"/>
        <w:jc w:val="both"/>
        <w:rPr>
          <w:sz w:val="22"/>
        </w:rPr>
        <w:sectPr>
          <w:pgSz w:w="11910" w:h="16840"/>
          <w:pgMar w:header="0" w:footer="1001" w:top="1420" w:bottom="1200" w:left="1275" w:right="850"/>
        </w:sectPr>
      </w:pPr>
    </w:p>
    <w:p>
      <w:pPr>
        <w:pStyle w:val="BodyText"/>
        <w:tabs>
          <w:tab w:pos="1171" w:val="left" w:leader="none"/>
          <w:tab w:pos="1567" w:val="left" w:leader="none"/>
          <w:tab w:pos="2782" w:val="left" w:leader="none"/>
          <w:tab w:pos="3811" w:val="left" w:leader="none"/>
          <w:tab w:pos="4855" w:val="left" w:leader="none"/>
          <w:tab w:pos="5752" w:val="left" w:leader="none"/>
          <w:tab w:pos="7028" w:val="left" w:leader="none"/>
          <w:tab w:pos="8242" w:val="left" w:leader="none"/>
          <w:tab w:pos="8821" w:val="left" w:leader="none"/>
        </w:tabs>
        <w:spacing w:line="276" w:lineRule="auto" w:before="82"/>
        <w:ind w:left="165" w:right="590"/>
      </w:pPr>
      <w:r>
        <w:rPr>
          <w:spacing w:val="-2"/>
        </w:rPr>
        <w:t>respond</w:t>
      </w:r>
      <w:r>
        <w:rPr/>
        <w:tab/>
      </w:r>
      <w:r>
        <w:rPr>
          <w:spacing w:val="-6"/>
        </w:rPr>
        <w:t>to</w:t>
      </w:r>
      <w:r>
        <w:rPr/>
        <w:tab/>
      </w:r>
      <w:r>
        <w:rPr>
          <w:spacing w:val="-2"/>
        </w:rPr>
        <w:t>on-ground</w:t>
      </w:r>
      <w:r>
        <w:rPr/>
        <w:tab/>
      </w:r>
      <w:r>
        <w:rPr>
          <w:spacing w:val="-2"/>
        </w:rPr>
        <w:t>realities,</w:t>
      </w:r>
      <w:r>
        <w:rPr/>
        <w:tab/>
      </w:r>
      <w:r>
        <w:rPr>
          <w:spacing w:val="-2"/>
        </w:rPr>
        <w:t>enabling</w:t>
      </w:r>
      <w:r>
        <w:rPr/>
        <w:tab/>
      </w:r>
      <w:r>
        <w:rPr>
          <w:spacing w:val="-2"/>
        </w:rPr>
        <w:t>deeper</w:t>
      </w:r>
      <w:r>
        <w:rPr/>
        <w:tab/>
      </w:r>
      <w:r>
        <w:rPr>
          <w:spacing w:val="-2"/>
        </w:rPr>
        <w:t>community</w:t>
      </w:r>
      <w:r>
        <w:rPr/>
        <w:tab/>
      </w:r>
      <w:r>
        <w:rPr>
          <w:spacing w:val="-2"/>
        </w:rPr>
        <w:t>ownership</w:t>
      </w:r>
      <w:r>
        <w:rPr/>
        <w:tab/>
      </w:r>
      <w:r>
        <w:rPr>
          <w:spacing w:val="-4"/>
        </w:rPr>
        <w:t>and</w:t>
      </w:r>
      <w:r>
        <w:rPr/>
        <w:tab/>
      </w:r>
      <w:r>
        <w:rPr>
          <w:spacing w:val="-2"/>
        </w:rPr>
        <w:t>skill development.</w:t>
      </w:r>
    </w:p>
    <w:p>
      <w:pPr>
        <w:pStyle w:val="BodyText"/>
        <w:rPr>
          <w:sz w:val="20"/>
        </w:rPr>
      </w:pPr>
    </w:p>
    <w:p>
      <w:pPr>
        <w:pStyle w:val="BodyText"/>
        <w:rPr>
          <w:sz w:val="20"/>
        </w:rPr>
      </w:pPr>
    </w:p>
    <w:p>
      <w:pPr>
        <w:pStyle w:val="BodyText"/>
        <w:spacing w:before="169"/>
        <w:rPr>
          <w:sz w:val="20"/>
        </w:rPr>
      </w:pPr>
      <w:r>
        <w:rPr>
          <w:sz w:val="20"/>
        </w:rPr>
        <mc:AlternateContent>
          <mc:Choice Requires="wps">
            <w:drawing>
              <wp:anchor distT="0" distB="0" distL="0" distR="0" allowOverlap="1" layoutInCell="1" locked="0" behindDoc="1" simplePos="0" relativeHeight="487592448">
                <wp:simplePos x="0" y="0"/>
                <wp:positionH relativeFrom="page">
                  <wp:posOffset>938310</wp:posOffset>
                </wp:positionH>
                <wp:positionV relativeFrom="paragraph">
                  <wp:posOffset>269219</wp:posOffset>
                </wp:positionV>
                <wp:extent cx="5725795" cy="241300"/>
                <wp:effectExtent l="0" t="0" r="0" b="0"/>
                <wp:wrapTopAndBottom/>
                <wp:docPr id="14" name="Textbox 14"/>
                <wp:cNvGraphicFramePr>
                  <a:graphicFrameLocks/>
                </wp:cNvGraphicFramePr>
                <a:graphic>
                  <a:graphicData uri="http://schemas.microsoft.com/office/word/2010/wordprocessingShape">
                    <wps:wsp>
                      <wps:cNvPr id="14" name="Textbox 14"/>
                      <wps:cNvSpPr txBox="1"/>
                      <wps:spPr>
                        <a:xfrm>
                          <a:off x="0" y="0"/>
                          <a:ext cx="5725795" cy="241300"/>
                        </a:xfrm>
                        <a:prstGeom prst="rect">
                          <a:avLst/>
                        </a:prstGeom>
                        <a:solidFill>
                          <a:srgbClr val="FFE699"/>
                        </a:solidFill>
                      </wps:spPr>
                      <wps:txbx>
                        <w:txbxContent>
                          <w:p>
                            <w:pPr>
                              <w:spacing w:before="0"/>
                              <w:ind w:left="28" w:right="0" w:firstLine="0"/>
                              <w:jc w:val="left"/>
                              <w:rPr>
                                <w:b/>
                                <w:color w:val="000000"/>
                                <w:sz w:val="22"/>
                              </w:rPr>
                            </w:pPr>
                            <w:r>
                              <w:rPr>
                                <w:b/>
                                <w:color w:val="000000"/>
                                <w:sz w:val="22"/>
                              </w:rPr>
                              <w:t>B.</w:t>
                            </w:r>
                            <w:r>
                              <w:rPr>
                                <w:b/>
                                <w:color w:val="000000"/>
                                <w:spacing w:val="68"/>
                                <w:sz w:val="22"/>
                              </w:rPr>
                              <w:t> </w:t>
                            </w:r>
                            <w:r>
                              <w:rPr>
                                <w:b/>
                                <w:color w:val="000000"/>
                                <w:sz w:val="22"/>
                              </w:rPr>
                              <w:t>Conflictorium</w:t>
                            </w:r>
                            <w:r>
                              <w:rPr>
                                <w:b/>
                                <w:color w:val="000000"/>
                                <w:spacing w:val="-5"/>
                                <w:sz w:val="22"/>
                              </w:rPr>
                              <w:t> </w:t>
                            </w:r>
                            <w:r>
                              <w:rPr>
                                <w:b/>
                                <w:color w:val="000000"/>
                                <w:sz w:val="22"/>
                              </w:rPr>
                              <w:t>–</w:t>
                            </w:r>
                            <w:r>
                              <w:rPr>
                                <w:b/>
                                <w:color w:val="000000"/>
                                <w:spacing w:val="-4"/>
                                <w:sz w:val="22"/>
                              </w:rPr>
                              <w:t> </w:t>
                            </w:r>
                            <w:r>
                              <w:rPr>
                                <w:b/>
                                <w:color w:val="000000"/>
                                <w:sz w:val="22"/>
                              </w:rPr>
                              <w:t>A</w:t>
                            </w:r>
                            <w:r>
                              <w:rPr>
                                <w:b/>
                                <w:color w:val="000000"/>
                                <w:spacing w:val="-4"/>
                                <w:sz w:val="22"/>
                              </w:rPr>
                              <w:t> </w:t>
                            </w:r>
                            <w:r>
                              <w:rPr>
                                <w:b/>
                                <w:color w:val="000000"/>
                                <w:sz w:val="22"/>
                              </w:rPr>
                              <w:t>participatory</w:t>
                            </w:r>
                            <w:r>
                              <w:rPr>
                                <w:b/>
                                <w:color w:val="000000"/>
                                <w:spacing w:val="-4"/>
                                <w:sz w:val="22"/>
                              </w:rPr>
                              <w:t> </w:t>
                            </w:r>
                            <w:r>
                              <w:rPr>
                                <w:b/>
                                <w:color w:val="000000"/>
                                <w:sz w:val="22"/>
                              </w:rPr>
                              <w:t>museum</w:t>
                            </w:r>
                            <w:r>
                              <w:rPr>
                                <w:b/>
                                <w:color w:val="000000"/>
                                <w:spacing w:val="-5"/>
                                <w:sz w:val="22"/>
                              </w:rPr>
                              <w:t> </w:t>
                            </w:r>
                            <w:r>
                              <w:rPr>
                                <w:b/>
                                <w:color w:val="000000"/>
                                <w:sz w:val="22"/>
                              </w:rPr>
                              <w:t>promoting</w:t>
                            </w:r>
                            <w:r>
                              <w:rPr>
                                <w:b/>
                                <w:color w:val="000000"/>
                                <w:spacing w:val="-4"/>
                                <w:sz w:val="22"/>
                              </w:rPr>
                              <w:t> </w:t>
                            </w:r>
                            <w:r>
                              <w:rPr>
                                <w:b/>
                                <w:color w:val="000000"/>
                                <w:sz w:val="22"/>
                              </w:rPr>
                              <w:t>peace</w:t>
                            </w:r>
                            <w:r>
                              <w:rPr>
                                <w:b/>
                                <w:color w:val="000000"/>
                                <w:spacing w:val="-4"/>
                                <w:sz w:val="22"/>
                              </w:rPr>
                              <w:t> </w:t>
                            </w:r>
                            <w:r>
                              <w:rPr>
                                <w:b/>
                                <w:color w:val="000000"/>
                                <w:sz w:val="22"/>
                              </w:rPr>
                              <w:t>and</w:t>
                            </w:r>
                            <w:r>
                              <w:rPr>
                                <w:b/>
                                <w:color w:val="000000"/>
                                <w:spacing w:val="-4"/>
                                <w:sz w:val="22"/>
                              </w:rPr>
                              <w:t> </w:t>
                            </w:r>
                            <w:r>
                              <w:rPr>
                                <w:b/>
                                <w:color w:val="000000"/>
                                <w:spacing w:val="-2"/>
                                <w:sz w:val="22"/>
                              </w:rPr>
                              <w:t>fraternity</w:t>
                            </w:r>
                          </w:p>
                        </w:txbxContent>
                      </wps:txbx>
                      <wps:bodyPr wrap="square" lIns="0" tIns="0" rIns="0" bIns="0" rtlCol="0">
                        <a:noAutofit/>
                      </wps:bodyPr>
                    </wps:wsp>
                  </a:graphicData>
                </a:graphic>
              </wp:anchor>
            </w:drawing>
          </mc:Choice>
          <mc:Fallback>
            <w:pict>
              <v:shape style="position:absolute;margin-left:73.882698pt;margin-top:21.198423pt;width:450.85pt;height:19pt;mso-position-horizontal-relative:page;mso-position-vertical-relative:paragraph;z-index:-15724032;mso-wrap-distance-left:0;mso-wrap-distance-right:0" type="#_x0000_t202" id="docshape6" filled="true" fillcolor="#ffe699" stroked="false">
                <v:textbox inset="0,0,0,0">
                  <w:txbxContent>
                    <w:p>
                      <w:pPr>
                        <w:spacing w:before="0"/>
                        <w:ind w:left="28" w:right="0" w:firstLine="0"/>
                        <w:jc w:val="left"/>
                        <w:rPr>
                          <w:b/>
                          <w:color w:val="000000"/>
                          <w:sz w:val="22"/>
                        </w:rPr>
                      </w:pPr>
                      <w:r>
                        <w:rPr>
                          <w:b/>
                          <w:color w:val="000000"/>
                          <w:sz w:val="22"/>
                        </w:rPr>
                        <w:t>B.</w:t>
                      </w:r>
                      <w:r>
                        <w:rPr>
                          <w:b/>
                          <w:color w:val="000000"/>
                          <w:spacing w:val="68"/>
                          <w:sz w:val="22"/>
                        </w:rPr>
                        <w:t> </w:t>
                      </w:r>
                      <w:r>
                        <w:rPr>
                          <w:b/>
                          <w:color w:val="000000"/>
                          <w:sz w:val="22"/>
                        </w:rPr>
                        <w:t>Conflictorium</w:t>
                      </w:r>
                      <w:r>
                        <w:rPr>
                          <w:b/>
                          <w:color w:val="000000"/>
                          <w:spacing w:val="-5"/>
                          <w:sz w:val="22"/>
                        </w:rPr>
                        <w:t> </w:t>
                      </w:r>
                      <w:r>
                        <w:rPr>
                          <w:b/>
                          <w:color w:val="000000"/>
                          <w:sz w:val="22"/>
                        </w:rPr>
                        <w:t>–</w:t>
                      </w:r>
                      <w:r>
                        <w:rPr>
                          <w:b/>
                          <w:color w:val="000000"/>
                          <w:spacing w:val="-4"/>
                          <w:sz w:val="22"/>
                        </w:rPr>
                        <w:t> </w:t>
                      </w:r>
                      <w:r>
                        <w:rPr>
                          <w:b/>
                          <w:color w:val="000000"/>
                          <w:sz w:val="22"/>
                        </w:rPr>
                        <w:t>A</w:t>
                      </w:r>
                      <w:r>
                        <w:rPr>
                          <w:b/>
                          <w:color w:val="000000"/>
                          <w:spacing w:val="-4"/>
                          <w:sz w:val="22"/>
                        </w:rPr>
                        <w:t> </w:t>
                      </w:r>
                      <w:r>
                        <w:rPr>
                          <w:b/>
                          <w:color w:val="000000"/>
                          <w:sz w:val="22"/>
                        </w:rPr>
                        <w:t>participatory</w:t>
                      </w:r>
                      <w:r>
                        <w:rPr>
                          <w:b/>
                          <w:color w:val="000000"/>
                          <w:spacing w:val="-4"/>
                          <w:sz w:val="22"/>
                        </w:rPr>
                        <w:t> </w:t>
                      </w:r>
                      <w:r>
                        <w:rPr>
                          <w:b/>
                          <w:color w:val="000000"/>
                          <w:sz w:val="22"/>
                        </w:rPr>
                        <w:t>museum</w:t>
                      </w:r>
                      <w:r>
                        <w:rPr>
                          <w:b/>
                          <w:color w:val="000000"/>
                          <w:spacing w:val="-5"/>
                          <w:sz w:val="22"/>
                        </w:rPr>
                        <w:t> </w:t>
                      </w:r>
                      <w:r>
                        <w:rPr>
                          <w:b/>
                          <w:color w:val="000000"/>
                          <w:sz w:val="22"/>
                        </w:rPr>
                        <w:t>promoting</w:t>
                      </w:r>
                      <w:r>
                        <w:rPr>
                          <w:b/>
                          <w:color w:val="000000"/>
                          <w:spacing w:val="-4"/>
                          <w:sz w:val="22"/>
                        </w:rPr>
                        <w:t> </w:t>
                      </w:r>
                      <w:r>
                        <w:rPr>
                          <w:b/>
                          <w:color w:val="000000"/>
                          <w:sz w:val="22"/>
                        </w:rPr>
                        <w:t>peace</w:t>
                      </w:r>
                      <w:r>
                        <w:rPr>
                          <w:b/>
                          <w:color w:val="000000"/>
                          <w:spacing w:val="-4"/>
                          <w:sz w:val="22"/>
                        </w:rPr>
                        <w:t> </w:t>
                      </w:r>
                      <w:r>
                        <w:rPr>
                          <w:b/>
                          <w:color w:val="000000"/>
                          <w:sz w:val="22"/>
                        </w:rPr>
                        <w:t>and</w:t>
                      </w:r>
                      <w:r>
                        <w:rPr>
                          <w:b/>
                          <w:color w:val="000000"/>
                          <w:spacing w:val="-4"/>
                          <w:sz w:val="22"/>
                        </w:rPr>
                        <w:t> </w:t>
                      </w:r>
                      <w:r>
                        <w:rPr>
                          <w:b/>
                          <w:color w:val="000000"/>
                          <w:spacing w:val="-2"/>
                          <w:sz w:val="22"/>
                        </w:rPr>
                        <w:t>fraternity</w:t>
                      </w:r>
                    </w:p>
                  </w:txbxContent>
                </v:textbox>
                <v:fill type="solid"/>
                <w10:wrap type="topAndBottom"/>
              </v:shape>
            </w:pict>
          </mc:Fallback>
        </mc:AlternateContent>
      </w:r>
    </w:p>
    <w:p>
      <w:pPr>
        <w:pStyle w:val="Heading2"/>
        <w:spacing w:before="180"/>
        <w:jc w:val="left"/>
      </w:pPr>
      <w:r>
        <w:rPr>
          <w:color w:val="141414"/>
          <w:spacing w:val="-2"/>
        </w:rPr>
        <w:t>Overview</w:t>
      </w:r>
    </w:p>
    <w:p>
      <w:pPr>
        <w:pStyle w:val="BodyText"/>
        <w:spacing w:line="259" w:lineRule="auto" w:before="200"/>
        <w:ind w:left="165" w:right="589"/>
        <w:jc w:val="both"/>
      </w:pPr>
      <w:r>
        <w:rPr>
          <w:color w:val="141414"/>
        </w:rPr>
        <w:t>In April 2024, Conflictorium proudly celebrated its eleventh anniversary in Ahmedabad and its second anniversary in Raipur. This significant milestone marks a journey of commitment to the arts, community engagement, and the exploration of pressing social issues through various exhibitions (5 over the two museums) and events (53 online and offline). Over the past year, we have hosted an array of impactful exhibitions that have not only enriched the cultural landscape but also fostered dialogues around identity, belonging, and social justice.</w:t>
      </w:r>
    </w:p>
    <w:p>
      <w:pPr>
        <w:spacing w:line="429" w:lineRule="auto" w:before="178"/>
        <w:ind w:left="165" w:right="7671" w:firstLine="0"/>
        <w:jc w:val="both"/>
        <w:rPr>
          <w:b/>
          <w:sz w:val="22"/>
        </w:rPr>
      </w:pPr>
      <w:r>
        <w:rPr>
          <w:b/>
          <w:color w:val="141414"/>
          <w:sz w:val="22"/>
        </w:rPr>
        <w:t>Raipur</w:t>
      </w:r>
      <w:r>
        <w:rPr>
          <w:b/>
          <w:color w:val="141414"/>
          <w:spacing w:val="-16"/>
          <w:sz w:val="22"/>
        </w:rPr>
        <w:t> </w:t>
      </w:r>
      <w:r>
        <w:rPr>
          <w:b/>
          <w:color w:val="141414"/>
          <w:sz w:val="22"/>
        </w:rPr>
        <w:t>Exhibitions In Transit</w:t>
      </w:r>
    </w:p>
    <w:p>
      <w:pPr>
        <w:pStyle w:val="Heading1"/>
        <w:spacing w:before="101"/>
        <w:ind w:left="165" w:right="591"/>
        <w:rPr>
          <w:rFonts w:ascii="Arial" w:hAnsi="Arial"/>
          <w:sz w:val="22"/>
        </w:rPr>
      </w:pPr>
      <w:r>
        <w:rPr>
          <w:i/>
        </w:rPr>
        <w:t>In Transit </w:t>
      </w:r>
      <w:r>
        <w:rPr/>
        <w:t>opened at Conflictorium Raipur on April 14, 2024, examining the complexities of migration beyond a purely marginalised experience. The exhibition questioned ideas of choice, compulsion, and agency within migration. It explored citizenship and belonging, encouraging visitors to reflect on their own migration stories. Over the summer, audiences engaged in dialogues around individual–state relationships. The exhibition also highlighted the broader social and political implications of migration</w:t>
      </w:r>
      <w:r>
        <w:rPr>
          <w:rFonts w:ascii="Arial" w:hAnsi="Arial"/>
          <w:color w:val="141414"/>
          <w:sz w:val="22"/>
        </w:rPr>
        <w:t>.</w:t>
      </w:r>
    </w:p>
    <w:p>
      <w:pPr>
        <w:pStyle w:val="BodyText"/>
        <w:spacing w:before="26"/>
        <w:rPr>
          <w:sz w:val="20"/>
        </w:rPr>
      </w:pPr>
      <w:r>
        <w:rPr>
          <w:sz w:val="20"/>
        </w:rPr>
        <w:drawing>
          <wp:anchor distT="0" distB="0" distL="0" distR="0" allowOverlap="1" layoutInCell="1" locked="0" behindDoc="1" simplePos="0" relativeHeight="487592960">
            <wp:simplePos x="0" y="0"/>
            <wp:positionH relativeFrom="page">
              <wp:posOffset>914400</wp:posOffset>
            </wp:positionH>
            <wp:positionV relativeFrom="paragraph">
              <wp:posOffset>177875</wp:posOffset>
            </wp:positionV>
            <wp:extent cx="2821833" cy="3523773"/>
            <wp:effectExtent l="0" t="0" r="0" b="0"/>
            <wp:wrapTopAndBottom/>
            <wp:docPr id="15" name="Image 15"/>
            <wp:cNvGraphicFramePr>
              <a:graphicFrameLocks/>
            </wp:cNvGraphicFramePr>
            <a:graphic>
              <a:graphicData uri="http://schemas.openxmlformats.org/drawingml/2006/picture">
                <pic:pic>
                  <pic:nvPicPr>
                    <pic:cNvPr id="15" name="Image 15"/>
                    <pic:cNvPicPr/>
                  </pic:nvPicPr>
                  <pic:blipFill>
                    <a:blip r:embed="rId14" cstate="print"/>
                    <a:stretch>
                      <a:fillRect/>
                    </a:stretch>
                  </pic:blipFill>
                  <pic:spPr>
                    <a:xfrm>
                      <a:off x="0" y="0"/>
                      <a:ext cx="2821833" cy="3523773"/>
                    </a:xfrm>
                    <a:prstGeom prst="rect">
                      <a:avLst/>
                    </a:prstGeom>
                  </pic:spPr>
                </pic:pic>
              </a:graphicData>
            </a:graphic>
          </wp:anchor>
        </w:drawing>
      </w:r>
    </w:p>
    <w:p>
      <w:pPr>
        <w:pStyle w:val="BodyText"/>
        <w:spacing w:after="0"/>
        <w:rPr>
          <w:sz w:val="20"/>
        </w:rPr>
        <w:sectPr>
          <w:pgSz w:w="11910" w:h="16840"/>
          <w:pgMar w:header="0" w:footer="1001" w:top="1340" w:bottom="1200" w:left="1275" w:right="850"/>
        </w:sectPr>
      </w:pPr>
    </w:p>
    <w:p>
      <w:pPr>
        <w:spacing w:before="82"/>
        <w:ind w:left="165" w:right="0" w:firstLine="0"/>
        <w:jc w:val="both"/>
        <w:rPr>
          <w:b/>
          <w:sz w:val="22"/>
        </w:rPr>
      </w:pPr>
      <w:r>
        <w:rPr>
          <w:b/>
          <w:color w:val="141414"/>
          <w:sz w:val="22"/>
        </w:rPr>
        <w:t>UnBlock:</w:t>
      </w:r>
      <w:r>
        <w:rPr>
          <w:b/>
          <w:color w:val="141414"/>
          <w:spacing w:val="-8"/>
          <w:sz w:val="22"/>
        </w:rPr>
        <w:t> </w:t>
      </w:r>
      <w:r>
        <w:rPr>
          <w:b/>
          <w:color w:val="141414"/>
          <w:sz w:val="22"/>
        </w:rPr>
        <w:t>Bridging</w:t>
      </w:r>
      <w:r>
        <w:rPr>
          <w:b/>
          <w:color w:val="141414"/>
          <w:spacing w:val="-7"/>
          <w:sz w:val="22"/>
        </w:rPr>
        <w:t> </w:t>
      </w:r>
      <w:r>
        <w:rPr>
          <w:b/>
          <w:color w:val="141414"/>
          <w:sz w:val="22"/>
        </w:rPr>
        <w:t>Individualistic</w:t>
      </w:r>
      <w:r>
        <w:rPr>
          <w:b/>
          <w:color w:val="141414"/>
          <w:spacing w:val="-8"/>
          <w:sz w:val="22"/>
        </w:rPr>
        <w:t> </w:t>
      </w:r>
      <w:r>
        <w:rPr>
          <w:b/>
          <w:color w:val="141414"/>
          <w:sz w:val="22"/>
        </w:rPr>
        <w:t>Printmaking</w:t>
      </w:r>
      <w:r>
        <w:rPr>
          <w:b/>
          <w:color w:val="141414"/>
          <w:spacing w:val="-7"/>
          <w:sz w:val="22"/>
        </w:rPr>
        <w:t> </w:t>
      </w:r>
      <w:r>
        <w:rPr>
          <w:b/>
          <w:color w:val="141414"/>
          <w:spacing w:val="-2"/>
          <w:sz w:val="22"/>
        </w:rPr>
        <w:t>Techniques</w:t>
      </w:r>
    </w:p>
    <w:p>
      <w:pPr>
        <w:pStyle w:val="BodyText"/>
        <w:spacing w:before="47"/>
        <w:rPr>
          <w:b/>
        </w:rPr>
      </w:pPr>
    </w:p>
    <w:p>
      <w:pPr>
        <w:pStyle w:val="Heading1"/>
        <w:ind w:left="165" w:right="593"/>
      </w:pPr>
      <w:r>
        <w:rPr>
          <w:i/>
        </w:rPr>
        <w:t>UnBlock</w:t>
      </w:r>
      <w:r>
        <w:rPr/>
        <w:t>, an interdisciplinary exhibition curated by Sarika Goswami at Conflictorium, presented individualistic printmaking practices centered on environment and identity. It opened with an interactive performance by Vaibhav Yadav, engaging audiences through collaborative drawing and print-based exploration. Featuring artists such as Preeti Sahu and Ullas Bhaladhare, the exhibition fostered a dynamic dialogue between art, process, and personal narratives.</w:t>
      </w:r>
    </w:p>
    <w:p>
      <w:pPr>
        <w:pStyle w:val="BodyText"/>
        <w:spacing w:before="26"/>
        <w:rPr>
          <w:rFonts w:ascii="Times New Roman"/>
          <w:sz w:val="20"/>
        </w:rPr>
      </w:pPr>
      <w:r>
        <w:rPr>
          <w:rFonts w:ascii="Times New Roman"/>
          <w:sz w:val="20"/>
        </w:rPr>
        <w:drawing>
          <wp:anchor distT="0" distB="0" distL="0" distR="0" allowOverlap="1" layoutInCell="1" locked="0" behindDoc="1" simplePos="0" relativeHeight="487593472">
            <wp:simplePos x="0" y="0"/>
            <wp:positionH relativeFrom="page">
              <wp:posOffset>914400</wp:posOffset>
            </wp:positionH>
            <wp:positionV relativeFrom="paragraph">
              <wp:posOffset>177827</wp:posOffset>
            </wp:positionV>
            <wp:extent cx="3603505" cy="5413248"/>
            <wp:effectExtent l="0" t="0" r="0" b="0"/>
            <wp:wrapTopAndBottom/>
            <wp:docPr id="16" name="Image 16"/>
            <wp:cNvGraphicFramePr>
              <a:graphicFrameLocks/>
            </wp:cNvGraphicFramePr>
            <a:graphic>
              <a:graphicData uri="http://schemas.openxmlformats.org/drawingml/2006/picture">
                <pic:pic>
                  <pic:nvPicPr>
                    <pic:cNvPr id="16" name="Image 16"/>
                    <pic:cNvPicPr/>
                  </pic:nvPicPr>
                  <pic:blipFill>
                    <a:blip r:embed="rId15" cstate="print"/>
                    <a:stretch>
                      <a:fillRect/>
                    </a:stretch>
                  </pic:blipFill>
                  <pic:spPr>
                    <a:xfrm>
                      <a:off x="0" y="0"/>
                      <a:ext cx="3603505" cy="5413248"/>
                    </a:xfrm>
                    <a:prstGeom prst="rect">
                      <a:avLst/>
                    </a:prstGeom>
                  </pic:spPr>
                </pic:pic>
              </a:graphicData>
            </a:graphic>
          </wp:anchor>
        </w:drawing>
      </w:r>
    </w:p>
    <w:p>
      <w:pPr>
        <w:pStyle w:val="Heading2"/>
        <w:spacing w:line="429" w:lineRule="auto" w:before="195"/>
        <w:ind w:right="7036"/>
      </w:pPr>
      <w:r>
        <w:rPr>
          <w:color w:val="141414"/>
        </w:rPr>
        <w:t>Ahmedabad Exhibitions Thresholds</w:t>
      </w:r>
      <w:r>
        <w:rPr>
          <w:color w:val="141414"/>
          <w:spacing w:val="-5"/>
        </w:rPr>
        <w:t> </w:t>
      </w:r>
      <w:r>
        <w:rPr>
          <w:color w:val="141414"/>
        </w:rPr>
        <w:t>of</w:t>
      </w:r>
      <w:r>
        <w:rPr>
          <w:color w:val="141414"/>
          <w:spacing w:val="-4"/>
        </w:rPr>
        <w:t> </w:t>
      </w:r>
      <w:r>
        <w:rPr>
          <w:color w:val="141414"/>
          <w:spacing w:val="-2"/>
        </w:rPr>
        <w:t>Becoming</w:t>
      </w:r>
    </w:p>
    <w:p>
      <w:pPr>
        <w:pStyle w:val="BodyText"/>
        <w:spacing w:line="259" w:lineRule="auto"/>
        <w:ind w:left="165" w:right="590"/>
        <w:jc w:val="both"/>
      </w:pPr>
      <w:r>
        <w:rPr>
          <w:color w:val="141414"/>
        </w:rPr>
        <w:t>On May 12, 2024, Conflictorium Ahmedabad launched the exhibition “Thresholds of Becoming,” which invited visitors to consider their own thresholds of transformation. The exhibition facilitated moments of introspection, asking poignant questions about the choices individuals make and the internal shifts that accompany them. Participating artists, including Bedamati Majhi and Swati Kumari, presented works that encouraged viewers to reimagine their</w:t>
      </w:r>
      <w:r>
        <w:rPr>
          <w:color w:val="141414"/>
          <w:spacing w:val="40"/>
        </w:rPr>
        <w:t> </w:t>
      </w:r>
      <w:r>
        <w:rPr>
          <w:color w:val="141414"/>
        </w:rPr>
        <w:t>realities</w:t>
      </w:r>
      <w:r>
        <w:rPr>
          <w:color w:val="141414"/>
          <w:spacing w:val="40"/>
        </w:rPr>
        <w:t> </w:t>
      </w:r>
      <w:r>
        <w:rPr>
          <w:color w:val="141414"/>
        </w:rPr>
        <w:t>and</w:t>
      </w:r>
      <w:r>
        <w:rPr>
          <w:color w:val="141414"/>
          <w:spacing w:val="40"/>
        </w:rPr>
        <w:t> </w:t>
      </w:r>
      <w:r>
        <w:rPr>
          <w:color w:val="141414"/>
        </w:rPr>
        <w:t>challenge</w:t>
      </w:r>
      <w:r>
        <w:rPr>
          <w:color w:val="141414"/>
          <w:spacing w:val="40"/>
        </w:rPr>
        <w:t> </w:t>
      </w:r>
      <w:r>
        <w:rPr>
          <w:color w:val="141414"/>
        </w:rPr>
        <w:t>imposed</w:t>
      </w:r>
      <w:r>
        <w:rPr>
          <w:color w:val="141414"/>
          <w:spacing w:val="40"/>
        </w:rPr>
        <w:t> </w:t>
      </w:r>
      <w:r>
        <w:rPr>
          <w:color w:val="141414"/>
        </w:rPr>
        <w:t>frameworks</w:t>
      </w:r>
      <w:r>
        <w:rPr>
          <w:color w:val="141414"/>
          <w:spacing w:val="40"/>
        </w:rPr>
        <w:t> </w:t>
      </w:r>
      <w:r>
        <w:rPr>
          <w:color w:val="141414"/>
        </w:rPr>
        <w:t>of</w:t>
      </w:r>
      <w:r>
        <w:rPr>
          <w:color w:val="141414"/>
          <w:spacing w:val="40"/>
        </w:rPr>
        <w:t> </w:t>
      </w:r>
      <w:r>
        <w:rPr>
          <w:color w:val="141414"/>
        </w:rPr>
        <w:t>existence.</w:t>
      </w:r>
      <w:r>
        <w:rPr>
          <w:color w:val="141414"/>
          <w:spacing w:val="40"/>
        </w:rPr>
        <w:t> </w:t>
      </w:r>
      <w:r>
        <w:rPr>
          <w:color w:val="141414"/>
        </w:rPr>
        <w:t>This</w:t>
      </w:r>
      <w:r>
        <w:rPr>
          <w:color w:val="141414"/>
          <w:spacing w:val="40"/>
        </w:rPr>
        <w:t> </w:t>
      </w:r>
      <w:r>
        <w:rPr>
          <w:color w:val="141414"/>
        </w:rPr>
        <w:t>exhibition</w:t>
      </w:r>
      <w:r>
        <w:rPr>
          <w:color w:val="141414"/>
          <w:spacing w:val="40"/>
        </w:rPr>
        <w:t> </w:t>
      </w:r>
      <w:r>
        <w:rPr>
          <w:color w:val="141414"/>
        </w:rPr>
        <w:t>remained</w:t>
      </w:r>
    </w:p>
    <w:p>
      <w:pPr>
        <w:pStyle w:val="BodyText"/>
        <w:spacing w:after="0" w:line="259" w:lineRule="auto"/>
        <w:jc w:val="both"/>
        <w:sectPr>
          <w:pgSz w:w="11910" w:h="16840"/>
          <w:pgMar w:header="0" w:footer="1001" w:top="1340" w:bottom="1200" w:left="1275" w:right="850"/>
        </w:sectPr>
      </w:pPr>
    </w:p>
    <w:p>
      <w:pPr>
        <w:pStyle w:val="BodyText"/>
        <w:spacing w:line="259" w:lineRule="auto" w:before="82"/>
        <w:ind w:left="165" w:right="590"/>
        <w:jc w:val="both"/>
      </w:pPr>
      <w:r>
        <w:rPr/>
        <w:drawing>
          <wp:anchor distT="0" distB="0" distL="0" distR="0" allowOverlap="1" layoutInCell="1" locked="0" behindDoc="0" simplePos="0" relativeHeight="15735296">
            <wp:simplePos x="0" y="0"/>
            <wp:positionH relativeFrom="page">
              <wp:posOffset>1915604</wp:posOffset>
            </wp:positionH>
            <wp:positionV relativeFrom="page">
              <wp:posOffset>7795577</wp:posOffset>
            </wp:positionV>
            <wp:extent cx="3508476" cy="2338857"/>
            <wp:effectExtent l="0" t="0" r="0" b="0"/>
            <wp:wrapNone/>
            <wp:docPr id="17" name="Image 17"/>
            <wp:cNvGraphicFramePr>
              <a:graphicFrameLocks/>
            </wp:cNvGraphicFramePr>
            <a:graphic>
              <a:graphicData uri="http://schemas.openxmlformats.org/drawingml/2006/picture">
                <pic:pic>
                  <pic:nvPicPr>
                    <pic:cNvPr id="17" name="Image 17"/>
                    <pic:cNvPicPr/>
                  </pic:nvPicPr>
                  <pic:blipFill>
                    <a:blip r:embed="rId16" cstate="print"/>
                    <a:stretch>
                      <a:fillRect/>
                    </a:stretch>
                  </pic:blipFill>
                  <pic:spPr>
                    <a:xfrm>
                      <a:off x="0" y="0"/>
                      <a:ext cx="3508476" cy="2338857"/>
                    </a:xfrm>
                    <a:prstGeom prst="rect">
                      <a:avLst/>
                    </a:prstGeom>
                  </pic:spPr>
                </pic:pic>
              </a:graphicData>
            </a:graphic>
          </wp:anchor>
        </w:drawing>
      </w:r>
      <w:r>
        <w:rPr>
          <w:color w:val="141414"/>
        </w:rPr>
        <w:t>open for an additional week, allowing more visitors to engage with these transformative </w:t>
      </w:r>
      <w:r>
        <w:rPr>
          <w:color w:val="141414"/>
          <w:spacing w:val="-2"/>
        </w:rPr>
        <w:t>artworks.</w:t>
      </w:r>
    </w:p>
    <w:p>
      <w:pPr>
        <w:pStyle w:val="BodyText"/>
        <w:spacing w:before="6"/>
        <w:rPr>
          <w:sz w:val="13"/>
        </w:rPr>
      </w:pPr>
      <w:r>
        <w:rPr>
          <w:sz w:val="13"/>
        </w:rPr>
        <w:drawing>
          <wp:anchor distT="0" distB="0" distL="0" distR="0" allowOverlap="1" layoutInCell="1" locked="0" behindDoc="1" simplePos="0" relativeHeight="487593984">
            <wp:simplePos x="0" y="0"/>
            <wp:positionH relativeFrom="page">
              <wp:posOffset>914400</wp:posOffset>
            </wp:positionH>
            <wp:positionV relativeFrom="paragraph">
              <wp:posOffset>114037</wp:posOffset>
            </wp:positionV>
            <wp:extent cx="5729604" cy="3819525"/>
            <wp:effectExtent l="0" t="0" r="0" b="0"/>
            <wp:wrapTopAndBottom/>
            <wp:docPr id="18" name="Image 18"/>
            <wp:cNvGraphicFramePr>
              <a:graphicFrameLocks/>
            </wp:cNvGraphicFramePr>
            <a:graphic>
              <a:graphicData uri="http://schemas.openxmlformats.org/drawingml/2006/picture">
                <pic:pic>
                  <pic:nvPicPr>
                    <pic:cNvPr id="18" name="Image 18"/>
                    <pic:cNvPicPr/>
                  </pic:nvPicPr>
                  <pic:blipFill>
                    <a:blip r:embed="rId17" cstate="print"/>
                    <a:stretch>
                      <a:fillRect/>
                    </a:stretch>
                  </pic:blipFill>
                  <pic:spPr>
                    <a:xfrm>
                      <a:off x="0" y="0"/>
                      <a:ext cx="5729604" cy="3819525"/>
                    </a:xfrm>
                    <a:prstGeom prst="rect">
                      <a:avLst/>
                    </a:prstGeom>
                  </pic:spPr>
                </pic:pic>
              </a:graphicData>
            </a:graphic>
          </wp:anchor>
        </w:drawing>
      </w:r>
    </w:p>
    <w:p>
      <w:pPr>
        <w:pStyle w:val="BodyText"/>
      </w:pPr>
    </w:p>
    <w:p>
      <w:pPr>
        <w:pStyle w:val="BodyText"/>
        <w:spacing w:before="162"/>
      </w:pPr>
    </w:p>
    <w:p>
      <w:pPr>
        <w:pStyle w:val="Heading2"/>
        <w:spacing w:line="259" w:lineRule="auto"/>
        <w:ind w:right="592"/>
      </w:pPr>
      <w:r>
        <w:rPr>
          <w:color w:val="141414"/>
        </w:rPr>
        <w:t>[Tender buttons, and another] Bellyache: A Contemporary Understanding of </w:t>
      </w:r>
      <w:r>
        <w:rPr>
          <w:color w:val="141414"/>
          <w:spacing w:val="-2"/>
        </w:rPr>
        <w:t>Womanhood</w:t>
      </w:r>
    </w:p>
    <w:p>
      <w:pPr>
        <w:pStyle w:val="BodyText"/>
        <w:spacing w:line="259" w:lineRule="auto" w:before="179"/>
        <w:ind w:left="165" w:right="590"/>
        <w:jc w:val="both"/>
      </w:pPr>
      <w:r>
        <w:rPr>
          <w:color w:val="141414"/>
        </w:rPr>
        <w:t>Another significant exhibition, titled “[Tender buttons, and another] Bellyache,” opened on July 5, 2024, and served as a continuation of the original exhibition. Curated by Shristi Sainani,</w:t>
      </w:r>
      <w:r>
        <w:rPr>
          <w:color w:val="141414"/>
          <w:spacing w:val="-3"/>
        </w:rPr>
        <w:t> </w:t>
      </w:r>
      <w:r>
        <w:rPr>
          <w:color w:val="141414"/>
        </w:rPr>
        <w:t>this</w:t>
      </w:r>
      <w:r>
        <w:rPr>
          <w:color w:val="141414"/>
          <w:spacing w:val="-3"/>
        </w:rPr>
        <w:t> </w:t>
      </w:r>
      <w:r>
        <w:rPr>
          <w:color w:val="141414"/>
        </w:rPr>
        <w:t>iteration</w:t>
      </w:r>
      <w:r>
        <w:rPr>
          <w:color w:val="141414"/>
          <w:spacing w:val="-3"/>
        </w:rPr>
        <w:t> </w:t>
      </w:r>
      <w:r>
        <w:rPr>
          <w:color w:val="141414"/>
        </w:rPr>
        <w:t>aimed</w:t>
      </w:r>
      <w:r>
        <w:rPr>
          <w:color w:val="141414"/>
          <w:spacing w:val="-3"/>
        </w:rPr>
        <w:t> </w:t>
      </w:r>
      <w:r>
        <w:rPr>
          <w:color w:val="141414"/>
        </w:rPr>
        <w:t>to</w:t>
      </w:r>
      <w:r>
        <w:rPr>
          <w:color w:val="141414"/>
          <w:spacing w:val="-3"/>
        </w:rPr>
        <w:t> </w:t>
      </w:r>
      <w:r>
        <w:rPr>
          <w:color w:val="141414"/>
        </w:rPr>
        <w:t>explore</w:t>
      </w:r>
      <w:r>
        <w:rPr>
          <w:color w:val="141414"/>
          <w:spacing w:val="-3"/>
        </w:rPr>
        <w:t> </w:t>
      </w:r>
      <w:r>
        <w:rPr>
          <w:color w:val="141414"/>
        </w:rPr>
        <w:t>contemporary</w:t>
      </w:r>
      <w:r>
        <w:rPr>
          <w:color w:val="141414"/>
          <w:spacing w:val="-3"/>
        </w:rPr>
        <w:t> </w:t>
      </w:r>
      <w:r>
        <w:rPr>
          <w:color w:val="141414"/>
        </w:rPr>
        <w:t>understandings</w:t>
      </w:r>
      <w:r>
        <w:rPr>
          <w:color w:val="141414"/>
          <w:spacing w:val="-3"/>
        </w:rPr>
        <w:t> </w:t>
      </w:r>
      <w:r>
        <w:rPr>
          <w:color w:val="141414"/>
        </w:rPr>
        <w:t>of</w:t>
      </w:r>
      <w:r>
        <w:rPr>
          <w:color w:val="141414"/>
          <w:spacing w:val="-3"/>
        </w:rPr>
        <w:t> </w:t>
      </w:r>
      <w:r>
        <w:rPr>
          <w:color w:val="141414"/>
        </w:rPr>
        <w:t>womanhood</w:t>
      </w:r>
      <w:r>
        <w:rPr>
          <w:color w:val="141414"/>
          <w:spacing w:val="-3"/>
        </w:rPr>
        <w:t> </w:t>
      </w:r>
      <w:r>
        <w:rPr>
          <w:color w:val="141414"/>
        </w:rPr>
        <w:t>through personal narratives, sociocultural encounters, and the often-overlooked histories of women</w:t>
      </w:r>
      <w:r>
        <w:rPr>
          <w:color w:val="141414"/>
          <w:spacing w:val="40"/>
        </w:rPr>
        <w:t> </w:t>
      </w:r>
      <w:r>
        <w:rPr>
          <w:color w:val="141414"/>
        </w:rPr>
        <w:t>in South Asia. The exhibition prompted discussions about societal expectations and the hidden</w:t>
      </w:r>
      <w:r>
        <w:rPr>
          <w:color w:val="141414"/>
          <w:spacing w:val="-3"/>
        </w:rPr>
        <w:t> </w:t>
      </w:r>
      <w:r>
        <w:rPr>
          <w:color w:val="141414"/>
        </w:rPr>
        <w:t>struggles</w:t>
      </w:r>
      <w:r>
        <w:rPr>
          <w:color w:val="141414"/>
          <w:spacing w:val="-3"/>
        </w:rPr>
        <w:t> </w:t>
      </w:r>
      <w:r>
        <w:rPr>
          <w:color w:val="141414"/>
        </w:rPr>
        <w:t>of</w:t>
      </w:r>
      <w:r>
        <w:rPr>
          <w:color w:val="141414"/>
          <w:spacing w:val="-3"/>
        </w:rPr>
        <w:t> </w:t>
      </w:r>
      <w:r>
        <w:rPr>
          <w:color w:val="141414"/>
        </w:rPr>
        <w:t>women,</w:t>
      </w:r>
      <w:r>
        <w:rPr>
          <w:color w:val="141414"/>
          <w:spacing w:val="-3"/>
        </w:rPr>
        <w:t> </w:t>
      </w:r>
      <w:r>
        <w:rPr>
          <w:color w:val="141414"/>
        </w:rPr>
        <w:t>culminating</w:t>
      </w:r>
      <w:r>
        <w:rPr>
          <w:color w:val="141414"/>
          <w:spacing w:val="-3"/>
        </w:rPr>
        <w:t> </w:t>
      </w:r>
      <w:r>
        <w:rPr>
          <w:color w:val="141414"/>
        </w:rPr>
        <w:t>in</w:t>
      </w:r>
      <w:r>
        <w:rPr>
          <w:color w:val="141414"/>
          <w:spacing w:val="-3"/>
        </w:rPr>
        <w:t> </w:t>
      </w:r>
      <w:r>
        <w:rPr>
          <w:color w:val="141414"/>
        </w:rPr>
        <w:t>the</w:t>
      </w:r>
      <w:r>
        <w:rPr>
          <w:color w:val="141414"/>
          <w:spacing w:val="-3"/>
        </w:rPr>
        <w:t> </w:t>
      </w:r>
      <w:r>
        <w:rPr>
          <w:color w:val="141414"/>
        </w:rPr>
        <w:t>creation</w:t>
      </w:r>
      <w:r>
        <w:rPr>
          <w:color w:val="141414"/>
          <w:spacing w:val="-3"/>
        </w:rPr>
        <w:t> </w:t>
      </w:r>
      <w:r>
        <w:rPr>
          <w:color w:val="141414"/>
        </w:rPr>
        <w:t>of</w:t>
      </w:r>
      <w:r>
        <w:rPr>
          <w:color w:val="141414"/>
          <w:spacing w:val="-3"/>
        </w:rPr>
        <w:t> </w:t>
      </w:r>
      <w:r>
        <w:rPr>
          <w:color w:val="141414"/>
        </w:rPr>
        <w:t>“The</w:t>
      </w:r>
      <w:r>
        <w:rPr>
          <w:color w:val="141414"/>
          <w:spacing w:val="-3"/>
        </w:rPr>
        <w:t> </w:t>
      </w:r>
      <w:r>
        <w:rPr>
          <w:color w:val="141414"/>
        </w:rPr>
        <w:t>Bellyache</w:t>
      </w:r>
      <w:r>
        <w:rPr>
          <w:color w:val="141414"/>
          <w:spacing w:val="-3"/>
        </w:rPr>
        <w:t> </w:t>
      </w:r>
      <w:r>
        <w:rPr>
          <w:color w:val="141414"/>
        </w:rPr>
        <w:t>Mixtape,”</w:t>
      </w:r>
      <w:r>
        <w:rPr>
          <w:color w:val="141414"/>
          <w:spacing w:val="-3"/>
        </w:rPr>
        <w:t> </w:t>
      </w:r>
      <w:r>
        <w:rPr>
          <w:color w:val="141414"/>
        </w:rPr>
        <w:t>a</w:t>
      </w:r>
      <w:r>
        <w:rPr>
          <w:color w:val="141414"/>
          <w:spacing w:val="-3"/>
        </w:rPr>
        <w:t> </w:t>
      </w:r>
      <w:r>
        <w:rPr>
          <w:color w:val="141414"/>
        </w:rPr>
        <w:t>curated collection of songs and poetry that further explored the impact of patriarchy on women’s </w:t>
      </w:r>
      <w:r>
        <w:rPr>
          <w:color w:val="141414"/>
          <w:spacing w:val="-2"/>
        </w:rPr>
        <w:t>lives.</w:t>
      </w:r>
    </w:p>
    <w:p>
      <w:pPr>
        <w:pStyle w:val="BodyText"/>
        <w:spacing w:after="0" w:line="259" w:lineRule="auto"/>
        <w:jc w:val="both"/>
        <w:sectPr>
          <w:pgSz w:w="11910" w:h="16840"/>
          <w:pgMar w:header="0" w:footer="1001" w:top="1340" w:bottom="1200" w:left="1275" w:right="850"/>
        </w:sectPr>
      </w:pPr>
    </w:p>
    <w:p>
      <w:pPr>
        <w:pStyle w:val="Heading2"/>
        <w:spacing w:before="82"/>
      </w:pPr>
      <w:r>
        <w:rPr>
          <w:color w:val="141414"/>
        </w:rPr>
        <w:t>From</w:t>
      </w:r>
      <w:r>
        <w:rPr>
          <w:color w:val="141414"/>
          <w:spacing w:val="-5"/>
        </w:rPr>
        <w:t> </w:t>
      </w:r>
      <w:r>
        <w:rPr>
          <w:color w:val="141414"/>
        </w:rPr>
        <w:t>Field</w:t>
      </w:r>
      <w:r>
        <w:rPr>
          <w:color w:val="141414"/>
          <w:spacing w:val="-4"/>
        </w:rPr>
        <w:t> </w:t>
      </w:r>
      <w:r>
        <w:rPr>
          <w:color w:val="141414"/>
        </w:rPr>
        <w:t>to</w:t>
      </w:r>
      <w:r>
        <w:rPr>
          <w:color w:val="141414"/>
          <w:spacing w:val="-4"/>
        </w:rPr>
        <w:t> </w:t>
      </w:r>
      <w:r>
        <w:rPr>
          <w:color w:val="141414"/>
        </w:rPr>
        <w:t>Frame:</w:t>
      </w:r>
      <w:r>
        <w:rPr>
          <w:color w:val="141414"/>
          <w:spacing w:val="-4"/>
        </w:rPr>
        <w:t> </w:t>
      </w:r>
      <w:r>
        <w:rPr>
          <w:color w:val="141414"/>
        </w:rPr>
        <w:t>Grounding</w:t>
      </w:r>
      <w:r>
        <w:rPr>
          <w:color w:val="141414"/>
          <w:spacing w:val="-4"/>
        </w:rPr>
        <w:t> </w:t>
      </w:r>
      <w:r>
        <w:rPr>
          <w:color w:val="141414"/>
        </w:rPr>
        <w:t>Collective</w:t>
      </w:r>
      <w:r>
        <w:rPr>
          <w:color w:val="141414"/>
          <w:spacing w:val="-4"/>
        </w:rPr>
        <w:t> </w:t>
      </w:r>
      <w:r>
        <w:rPr>
          <w:color w:val="141414"/>
          <w:spacing w:val="-2"/>
        </w:rPr>
        <w:t>Practices</w:t>
      </w:r>
    </w:p>
    <w:p>
      <w:pPr>
        <w:pStyle w:val="BodyText"/>
        <w:spacing w:line="259" w:lineRule="auto" w:before="200"/>
        <w:ind w:left="165" w:right="590"/>
        <w:jc w:val="both"/>
      </w:pPr>
      <w:r>
        <w:rPr>
          <w:color w:val="141414"/>
        </w:rPr>
        <w:t>On August 17, 2024, Conflictorium Ahmedabad hosted the exhibition “From Field to Frame: Grounding Collective Practices in the Outdoors,” organised by Raju Patel. This exhibition showcased the ‘Outdoor Practice’ group initiative and sought to shift the focus from market- driven art production to more exploratory interactions with nature. Participating artists, such as Aadil Khan and Anil Thambai, presented works that encouraged a re-evaluation of our relationship with the environment and our collective practices in artistic expression.</w:t>
      </w:r>
    </w:p>
    <w:p>
      <w:pPr>
        <w:pStyle w:val="BodyText"/>
        <w:spacing w:before="5"/>
        <w:rPr>
          <w:sz w:val="13"/>
        </w:rPr>
      </w:pPr>
      <w:r>
        <w:rPr>
          <w:sz w:val="13"/>
        </w:rPr>
        <w:drawing>
          <wp:anchor distT="0" distB="0" distL="0" distR="0" allowOverlap="1" layoutInCell="1" locked="0" behindDoc="1" simplePos="0" relativeHeight="487595008">
            <wp:simplePos x="0" y="0"/>
            <wp:positionH relativeFrom="page">
              <wp:posOffset>914400</wp:posOffset>
            </wp:positionH>
            <wp:positionV relativeFrom="paragraph">
              <wp:posOffset>113513</wp:posOffset>
            </wp:positionV>
            <wp:extent cx="4715126" cy="2652712"/>
            <wp:effectExtent l="0" t="0" r="0" b="0"/>
            <wp:wrapTopAndBottom/>
            <wp:docPr id="19" name="Image 19"/>
            <wp:cNvGraphicFramePr>
              <a:graphicFrameLocks/>
            </wp:cNvGraphicFramePr>
            <a:graphic>
              <a:graphicData uri="http://schemas.openxmlformats.org/drawingml/2006/picture">
                <pic:pic>
                  <pic:nvPicPr>
                    <pic:cNvPr id="19" name="Image 19"/>
                    <pic:cNvPicPr/>
                  </pic:nvPicPr>
                  <pic:blipFill>
                    <a:blip r:embed="rId18" cstate="print"/>
                    <a:stretch>
                      <a:fillRect/>
                    </a:stretch>
                  </pic:blipFill>
                  <pic:spPr>
                    <a:xfrm>
                      <a:off x="0" y="0"/>
                      <a:ext cx="4715126" cy="2652712"/>
                    </a:xfrm>
                    <a:prstGeom prst="rect">
                      <a:avLst/>
                    </a:prstGeom>
                  </pic:spPr>
                </pic:pic>
              </a:graphicData>
            </a:graphic>
          </wp:anchor>
        </w:drawing>
      </w:r>
    </w:p>
    <w:p>
      <w:pPr>
        <w:pStyle w:val="Heading2"/>
        <w:spacing w:before="202"/>
      </w:pPr>
      <w:r>
        <w:rPr>
          <w:color w:val="141414"/>
        </w:rPr>
        <w:t>Artist</w:t>
      </w:r>
      <w:r>
        <w:rPr>
          <w:color w:val="141414"/>
          <w:spacing w:val="-2"/>
        </w:rPr>
        <w:t> </w:t>
      </w:r>
      <w:r>
        <w:rPr>
          <w:color w:val="141414"/>
        </w:rPr>
        <w:t>Residency:</w:t>
      </w:r>
      <w:r>
        <w:rPr>
          <w:color w:val="141414"/>
          <w:spacing w:val="-1"/>
        </w:rPr>
        <w:t> </w:t>
      </w:r>
      <w:r>
        <w:rPr>
          <w:color w:val="141414"/>
        </w:rPr>
        <w:t>Đinh</w:t>
      </w:r>
      <w:r>
        <w:rPr>
          <w:color w:val="141414"/>
          <w:spacing w:val="-2"/>
        </w:rPr>
        <w:t> </w:t>
      </w:r>
      <w:r>
        <w:rPr>
          <w:color w:val="141414"/>
        </w:rPr>
        <w:t>Thảo</w:t>
      </w:r>
      <w:r>
        <w:rPr>
          <w:color w:val="141414"/>
          <w:spacing w:val="-1"/>
        </w:rPr>
        <w:t> </w:t>
      </w:r>
      <w:r>
        <w:rPr>
          <w:color w:val="141414"/>
          <w:spacing w:val="-4"/>
        </w:rPr>
        <w:t>Linh</w:t>
      </w:r>
    </w:p>
    <w:p>
      <w:pPr>
        <w:pStyle w:val="BodyText"/>
        <w:spacing w:line="259" w:lineRule="auto" w:before="200"/>
        <w:ind w:left="165" w:right="589"/>
        <w:jc w:val="both"/>
      </w:pPr>
      <w:r>
        <w:rPr>
          <w:color w:val="141414"/>
        </w:rPr>
        <w:t>As part of the ‘16 Breaths Per Minute’ residency programme, Conflictorium welcomed artist Đinh Thảo Linh, whose work explored the concept of maternity in art. Through her presentation titled “Maternity and Materiality in Art Practice,” Linh engaged the community in discussions about the nurturing qualities of materials and the spaces they inhabit. Her residency culminated in an open studio where she created a fictional hair salon, honouring Ahmedabad’s first certified hairdresser, Bachuben Nagarwala. Linh’s efforts to connect with the local community fostered a deeper understanding between the museum and its </w:t>
      </w:r>
      <w:r>
        <w:rPr>
          <w:color w:val="141414"/>
          <w:spacing w:val="-2"/>
        </w:rPr>
        <w:t>neighbours.</w:t>
      </w:r>
    </w:p>
    <w:p>
      <w:pPr>
        <w:pStyle w:val="BodyText"/>
        <w:spacing w:before="5"/>
        <w:rPr>
          <w:sz w:val="13"/>
        </w:rPr>
      </w:pPr>
      <w:r>
        <w:rPr>
          <w:sz w:val="13"/>
        </w:rPr>
        <w:drawing>
          <wp:anchor distT="0" distB="0" distL="0" distR="0" allowOverlap="1" layoutInCell="1" locked="0" behindDoc="1" simplePos="0" relativeHeight="487595520">
            <wp:simplePos x="0" y="0"/>
            <wp:positionH relativeFrom="page">
              <wp:posOffset>914400</wp:posOffset>
            </wp:positionH>
            <wp:positionV relativeFrom="paragraph">
              <wp:posOffset>113580</wp:posOffset>
            </wp:positionV>
            <wp:extent cx="1835644" cy="2120741"/>
            <wp:effectExtent l="0" t="0" r="0" b="0"/>
            <wp:wrapTopAndBottom/>
            <wp:docPr id="20" name="Image 20"/>
            <wp:cNvGraphicFramePr>
              <a:graphicFrameLocks/>
            </wp:cNvGraphicFramePr>
            <a:graphic>
              <a:graphicData uri="http://schemas.openxmlformats.org/drawingml/2006/picture">
                <pic:pic>
                  <pic:nvPicPr>
                    <pic:cNvPr id="20" name="Image 20"/>
                    <pic:cNvPicPr/>
                  </pic:nvPicPr>
                  <pic:blipFill>
                    <a:blip r:embed="rId19" cstate="print"/>
                    <a:stretch>
                      <a:fillRect/>
                    </a:stretch>
                  </pic:blipFill>
                  <pic:spPr>
                    <a:xfrm>
                      <a:off x="0" y="0"/>
                      <a:ext cx="1835644" cy="2120741"/>
                    </a:xfrm>
                    <a:prstGeom prst="rect">
                      <a:avLst/>
                    </a:prstGeom>
                  </pic:spPr>
                </pic:pic>
              </a:graphicData>
            </a:graphic>
          </wp:anchor>
        </w:drawing>
      </w:r>
    </w:p>
    <w:p>
      <w:pPr>
        <w:pStyle w:val="BodyText"/>
        <w:spacing w:after="0"/>
        <w:rPr>
          <w:sz w:val="13"/>
        </w:rPr>
        <w:sectPr>
          <w:pgSz w:w="11910" w:h="16840"/>
          <w:pgMar w:header="0" w:footer="1001" w:top="1340" w:bottom="1200" w:left="1275" w:right="850"/>
        </w:sectPr>
      </w:pPr>
    </w:p>
    <w:p>
      <w:pPr>
        <w:spacing w:before="82"/>
        <w:ind w:left="165" w:right="0" w:firstLine="0"/>
        <w:jc w:val="left"/>
        <w:rPr>
          <w:b/>
          <w:sz w:val="22"/>
        </w:rPr>
      </w:pPr>
      <w:r>
        <w:rPr>
          <w:b/>
          <w:color w:val="141414"/>
          <w:spacing w:val="-2"/>
          <w:sz w:val="22"/>
        </w:rPr>
        <w:t>Events</w:t>
      </w:r>
    </w:p>
    <w:p>
      <w:pPr>
        <w:spacing w:before="200"/>
        <w:ind w:left="165" w:right="0" w:firstLine="0"/>
        <w:jc w:val="left"/>
        <w:rPr>
          <w:b/>
          <w:sz w:val="22"/>
        </w:rPr>
      </w:pPr>
      <w:r>
        <w:rPr>
          <w:b/>
          <w:color w:val="141414"/>
          <w:sz w:val="22"/>
        </w:rPr>
        <w:t>Engaging</w:t>
      </w:r>
      <w:r>
        <w:rPr>
          <w:b/>
          <w:color w:val="141414"/>
          <w:spacing w:val="-8"/>
          <w:sz w:val="22"/>
        </w:rPr>
        <w:t> </w:t>
      </w:r>
      <w:r>
        <w:rPr>
          <w:b/>
          <w:color w:val="141414"/>
          <w:spacing w:val="-2"/>
          <w:sz w:val="22"/>
        </w:rPr>
        <w:t>Performances</w:t>
      </w:r>
    </w:p>
    <w:p>
      <w:pPr>
        <w:pStyle w:val="BodyText"/>
        <w:spacing w:before="47"/>
        <w:rPr>
          <w:b/>
        </w:rPr>
      </w:pPr>
    </w:p>
    <w:p>
      <w:pPr>
        <w:pStyle w:val="Heading1"/>
        <w:ind w:right="590"/>
      </w:pPr>
      <w:r>
        <w:rPr/>
        <w:t>Throughout 2024, Conflictorium Raipur presented performances engaging with identity, political suppression, and social realities. </w:t>
      </w:r>
      <w:r>
        <w:rPr>
          <w:i/>
        </w:rPr>
        <w:t>Run of the Mill </w:t>
      </w:r>
      <w:r>
        <w:rPr/>
        <w:t>by Avanish (August 4) offered an intimate reflection on vulnerability, hopelessness, and the search for love. On August 16–17, </w:t>
      </w:r>
      <w:r>
        <w:rPr>
          <w:i/>
        </w:rPr>
        <w:t>Firefly Women </w:t>
      </w:r>
      <w:r>
        <w:rPr/>
        <w:t>explored feminist utopias through the stories of three Indian women imprisoned under draconian laws, prompting dialogue on political repression and Indigenous women’s experiences.</w:t>
      </w:r>
    </w:p>
    <w:p>
      <w:pPr>
        <w:pStyle w:val="BodyText"/>
        <w:rPr>
          <w:rFonts w:ascii="Times New Roman"/>
          <w:sz w:val="20"/>
        </w:rPr>
      </w:pPr>
    </w:p>
    <w:p>
      <w:pPr>
        <w:pStyle w:val="BodyText"/>
        <w:rPr>
          <w:rFonts w:ascii="Times New Roman"/>
          <w:sz w:val="20"/>
        </w:rPr>
      </w:pPr>
    </w:p>
    <w:p>
      <w:pPr>
        <w:pStyle w:val="BodyText"/>
        <w:spacing w:before="19"/>
        <w:rPr>
          <w:rFonts w:ascii="Times New Roman"/>
          <w:sz w:val="20"/>
        </w:rPr>
      </w:pPr>
      <w:r>
        <w:rPr>
          <w:rFonts w:ascii="Times New Roman"/>
          <w:sz w:val="20"/>
        </w:rPr>
        <w:drawing>
          <wp:anchor distT="0" distB="0" distL="0" distR="0" allowOverlap="1" layoutInCell="1" locked="0" behindDoc="1" simplePos="0" relativeHeight="487596032">
            <wp:simplePos x="0" y="0"/>
            <wp:positionH relativeFrom="page">
              <wp:posOffset>914400</wp:posOffset>
            </wp:positionH>
            <wp:positionV relativeFrom="paragraph">
              <wp:posOffset>173433</wp:posOffset>
            </wp:positionV>
            <wp:extent cx="5727687" cy="4281487"/>
            <wp:effectExtent l="0" t="0" r="0" b="0"/>
            <wp:wrapTopAndBottom/>
            <wp:docPr id="21" name="Image 21"/>
            <wp:cNvGraphicFramePr>
              <a:graphicFrameLocks/>
            </wp:cNvGraphicFramePr>
            <a:graphic>
              <a:graphicData uri="http://schemas.openxmlformats.org/drawingml/2006/picture">
                <pic:pic>
                  <pic:nvPicPr>
                    <pic:cNvPr id="21" name="Image 21"/>
                    <pic:cNvPicPr/>
                  </pic:nvPicPr>
                  <pic:blipFill>
                    <a:blip r:embed="rId20" cstate="print"/>
                    <a:stretch>
                      <a:fillRect/>
                    </a:stretch>
                  </pic:blipFill>
                  <pic:spPr>
                    <a:xfrm>
                      <a:off x="0" y="0"/>
                      <a:ext cx="5727687" cy="4281487"/>
                    </a:xfrm>
                    <a:prstGeom prst="rect">
                      <a:avLst/>
                    </a:prstGeom>
                  </pic:spPr>
                </pic:pic>
              </a:graphicData>
            </a:graphic>
          </wp:anchor>
        </w:drawing>
      </w:r>
    </w:p>
    <w:p>
      <w:pPr>
        <w:spacing w:before="207"/>
        <w:ind w:left="165" w:right="0" w:firstLine="0"/>
        <w:jc w:val="both"/>
        <w:rPr>
          <w:b/>
          <w:sz w:val="22"/>
        </w:rPr>
      </w:pPr>
      <w:r>
        <w:rPr>
          <w:b/>
          <w:color w:val="141414"/>
          <w:sz w:val="22"/>
        </w:rPr>
        <w:t>Community</w:t>
      </w:r>
      <w:r>
        <w:rPr>
          <w:b/>
          <w:color w:val="141414"/>
          <w:spacing w:val="-8"/>
          <w:sz w:val="22"/>
        </w:rPr>
        <w:t> </w:t>
      </w:r>
      <w:r>
        <w:rPr>
          <w:b/>
          <w:color w:val="141414"/>
          <w:spacing w:val="-2"/>
          <w:sz w:val="22"/>
        </w:rPr>
        <w:t>Engagement</w:t>
      </w:r>
    </w:p>
    <w:p>
      <w:pPr>
        <w:pStyle w:val="BodyText"/>
        <w:spacing w:before="47"/>
        <w:rPr>
          <w:b/>
        </w:rPr>
      </w:pPr>
    </w:p>
    <w:p>
      <w:pPr>
        <w:pStyle w:val="Heading1"/>
      </w:pPr>
      <w:r>
        <w:rPr/>
        <w:t>On November 9, 2024, Conflictorium Raipur hosted </w:t>
      </w:r>
      <w:r>
        <w:rPr>
          <w:i/>
        </w:rPr>
        <w:t>Bastariha Pandum</w:t>
      </w:r>
      <w:r>
        <w:rPr/>
        <w:t>, a panel discussion</w:t>
      </w:r>
      <w:r>
        <w:rPr>
          <w:spacing w:val="40"/>
        </w:rPr>
        <w:t> </w:t>
      </w:r>
      <w:r>
        <w:rPr/>
        <w:t>on identity, tourism, and cultural preservation in Bastar, in collaboration with Agora Eco- Tourism. Community voices, including Mansingh Baghel and Sarita Vanjari, shared lived experiences highlighting pressures on local cultures. In November, Conflictorium also conducted </w:t>
      </w:r>
      <w:r>
        <w:rPr>
          <w:i/>
        </w:rPr>
        <w:t>Power Play</w:t>
      </w:r>
      <w:r>
        <w:rPr/>
        <w:t>, interactive sessions led by Roshni Sharma that used games to explore privilege, positionality, and power. Additionally, the All Things Living Environmental Film Festival (ALT EFF) screened environmental films, prompting discussions on climate change, tribal autonomy, and environmental justice.</w:t>
      </w:r>
    </w:p>
    <w:p>
      <w:pPr>
        <w:pStyle w:val="Heading1"/>
        <w:spacing w:after="0"/>
        <w:sectPr>
          <w:pgSz w:w="11910" w:h="16840"/>
          <w:pgMar w:header="0" w:footer="1001" w:top="1340" w:bottom="1200" w:left="1275" w:right="850"/>
        </w:sectPr>
      </w:pPr>
    </w:p>
    <w:p>
      <w:pPr>
        <w:pStyle w:val="BodyText"/>
        <w:ind w:left="165"/>
        <w:rPr>
          <w:rFonts w:ascii="Times New Roman"/>
          <w:sz w:val="20"/>
        </w:rPr>
      </w:pPr>
      <w:r>
        <w:rPr>
          <w:rFonts w:ascii="Times New Roman"/>
          <w:sz w:val="20"/>
        </w:rPr>
        <w:drawing>
          <wp:inline distT="0" distB="0" distL="0" distR="0">
            <wp:extent cx="5292363" cy="2986087"/>
            <wp:effectExtent l="0" t="0" r="0" b="0"/>
            <wp:docPr id="22" name="Image 22"/>
            <wp:cNvGraphicFramePr>
              <a:graphicFrameLocks/>
            </wp:cNvGraphicFramePr>
            <a:graphic>
              <a:graphicData uri="http://schemas.openxmlformats.org/drawingml/2006/picture">
                <pic:pic>
                  <pic:nvPicPr>
                    <pic:cNvPr id="22" name="Image 22"/>
                    <pic:cNvPicPr/>
                  </pic:nvPicPr>
                  <pic:blipFill>
                    <a:blip r:embed="rId21" cstate="print"/>
                    <a:stretch>
                      <a:fillRect/>
                    </a:stretch>
                  </pic:blipFill>
                  <pic:spPr>
                    <a:xfrm>
                      <a:off x="0" y="0"/>
                      <a:ext cx="5292363" cy="2986087"/>
                    </a:xfrm>
                    <a:prstGeom prst="rect">
                      <a:avLst/>
                    </a:prstGeom>
                  </pic:spPr>
                </pic:pic>
              </a:graphicData>
            </a:graphic>
          </wp:inline>
        </w:drawing>
      </w:r>
      <w:r>
        <w:rPr>
          <w:rFonts w:ascii="Times New Roman"/>
          <w:sz w:val="20"/>
        </w:rPr>
      </w:r>
    </w:p>
    <w:p>
      <w:pPr>
        <w:pStyle w:val="Heading2"/>
        <w:spacing w:before="209"/>
      </w:pPr>
      <w:r>
        <w:rPr>
          <w:color w:val="141414"/>
        </w:rPr>
        <w:t>Fundraising</w:t>
      </w:r>
      <w:r>
        <w:rPr>
          <w:color w:val="141414"/>
          <w:spacing w:val="-6"/>
        </w:rPr>
        <w:t> </w:t>
      </w:r>
      <w:r>
        <w:rPr>
          <w:color w:val="141414"/>
        </w:rPr>
        <w:t>Events:</w:t>
      </w:r>
      <w:r>
        <w:rPr>
          <w:color w:val="141414"/>
          <w:spacing w:val="-6"/>
        </w:rPr>
        <w:t> </w:t>
      </w:r>
      <w:r>
        <w:rPr>
          <w:color w:val="141414"/>
        </w:rPr>
        <w:t>Community</w:t>
      </w:r>
      <w:r>
        <w:rPr>
          <w:color w:val="141414"/>
          <w:spacing w:val="-6"/>
        </w:rPr>
        <w:t> </w:t>
      </w:r>
      <w:r>
        <w:rPr>
          <w:color w:val="141414"/>
          <w:spacing w:val="-2"/>
        </w:rPr>
        <w:t>Support</w:t>
      </w:r>
    </w:p>
    <w:p>
      <w:pPr>
        <w:pStyle w:val="BodyText"/>
        <w:spacing w:line="259" w:lineRule="auto" w:before="200"/>
        <w:ind w:left="165" w:right="589"/>
        <w:jc w:val="both"/>
      </w:pPr>
      <w:r>
        <w:rPr>
          <w:color w:val="141414"/>
        </w:rPr>
        <w:t>Conflictorium Raipur also organised several fundraising events, including “Sangharsh ke Geet,” which featured the band Indian Roller. The concert not only provided a space for community members to come together in solidarity but also raised funds to support the museum’s operations. This successful event highlighted the importance of collaborative efforts in sustaining the museum’s mission to remain accessible to all.</w:t>
      </w:r>
    </w:p>
    <w:p>
      <w:pPr>
        <w:pStyle w:val="BodyText"/>
        <w:spacing w:before="5"/>
        <w:rPr>
          <w:sz w:val="13"/>
        </w:rPr>
      </w:pPr>
      <w:r>
        <w:rPr>
          <w:sz w:val="13"/>
        </w:rPr>
        <w:drawing>
          <wp:anchor distT="0" distB="0" distL="0" distR="0" allowOverlap="1" layoutInCell="1" locked="0" behindDoc="1" simplePos="0" relativeHeight="487596544">
            <wp:simplePos x="0" y="0"/>
            <wp:positionH relativeFrom="page">
              <wp:posOffset>914400</wp:posOffset>
            </wp:positionH>
            <wp:positionV relativeFrom="paragraph">
              <wp:posOffset>113663</wp:posOffset>
            </wp:positionV>
            <wp:extent cx="5302250" cy="2990850"/>
            <wp:effectExtent l="0" t="0" r="0" b="0"/>
            <wp:wrapTopAndBottom/>
            <wp:docPr id="23" name="Image 23"/>
            <wp:cNvGraphicFramePr>
              <a:graphicFrameLocks/>
            </wp:cNvGraphicFramePr>
            <a:graphic>
              <a:graphicData uri="http://schemas.openxmlformats.org/drawingml/2006/picture">
                <pic:pic>
                  <pic:nvPicPr>
                    <pic:cNvPr id="23" name="Image 23"/>
                    <pic:cNvPicPr/>
                  </pic:nvPicPr>
                  <pic:blipFill>
                    <a:blip r:embed="rId22" cstate="print"/>
                    <a:stretch>
                      <a:fillRect/>
                    </a:stretch>
                  </pic:blipFill>
                  <pic:spPr>
                    <a:xfrm>
                      <a:off x="0" y="0"/>
                      <a:ext cx="5302250" cy="2990850"/>
                    </a:xfrm>
                    <a:prstGeom prst="rect">
                      <a:avLst/>
                    </a:prstGeom>
                  </pic:spPr>
                </pic:pic>
              </a:graphicData>
            </a:graphic>
          </wp:anchor>
        </w:drawing>
      </w:r>
    </w:p>
    <w:p>
      <w:pPr>
        <w:spacing w:before="200"/>
        <w:ind w:left="165" w:right="0" w:firstLine="0"/>
        <w:jc w:val="both"/>
        <w:rPr>
          <w:b/>
          <w:sz w:val="22"/>
        </w:rPr>
      </w:pPr>
      <w:r>
        <w:rPr>
          <w:b/>
          <w:color w:val="141414"/>
          <w:sz w:val="22"/>
        </w:rPr>
        <w:t>Outside</w:t>
      </w:r>
      <w:r>
        <w:rPr>
          <w:b/>
          <w:color w:val="141414"/>
          <w:spacing w:val="-4"/>
          <w:sz w:val="22"/>
        </w:rPr>
        <w:t> </w:t>
      </w:r>
      <w:r>
        <w:rPr>
          <w:b/>
          <w:color w:val="141414"/>
          <w:sz w:val="22"/>
        </w:rPr>
        <w:t>the</w:t>
      </w:r>
      <w:r>
        <w:rPr>
          <w:b/>
          <w:color w:val="141414"/>
          <w:spacing w:val="-4"/>
          <w:sz w:val="22"/>
        </w:rPr>
        <w:t> </w:t>
      </w:r>
      <w:r>
        <w:rPr>
          <w:b/>
          <w:color w:val="141414"/>
          <w:spacing w:val="-2"/>
          <w:sz w:val="22"/>
        </w:rPr>
        <w:t>Museum</w:t>
      </w:r>
    </w:p>
    <w:p>
      <w:pPr>
        <w:pStyle w:val="BodyText"/>
        <w:spacing w:before="47"/>
        <w:rPr>
          <w:b/>
        </w:rPr>
      </w:pPr>
    </w:p>
    <w:p>
      <w:pPr>
        <w:pStyle w:val="Heading1"/>
      </w:pPr>
      <w:r>
        <w:rPr/>
        <w:t>Over the past year, Conflictorium hosted a range of impactful programs exploring sound, democracy, and community engagement. Screenings of </w:t>
      </w:r>
      <w:r>
        <w:rPr>
          <w:i/>
        </w:rPr>
        <w:t>A Sound Democracy: Music, Movement &amp; A Mob</w:t>
      </w:r>
      <w:r>
        <w:rPr/>
        <w:t>, including a session at SACAC for students, sparked critical discussions on the politics of sound, while the MatBhed board game enabled dialogue on religious freedom</w:t>
      </w:r>
      <w:r>
        <w:rPr>
          <w:spacing w:val="29"/>
        </w:rPr>
        <w:t> </w:t>
      </w:r>
      <w:r>
        <w:rPr/>
        <w:t>in</w:t>
      </w:r>
      <w:r>
        <w:rPr>
          <w:spacing w:val="29"/>
        </w:rPr>
        <w:t> </w:t>
      </w:r>
      <w:r>
        <w:rPr/>
        <w:t>India.</w:t>
      </w:r>
      <w:r>
        <w:rPr>
          <w:spacing w:val="29"/>
        </w:rPr>
        <w:t> </w:t>
      </w:r>
      <w:r>
        <w:rPr/>
        <w:t>The</w:t>
      </w:r>
      <w:r>
        <w:rPr>
          <w:spacing w:val="29"/>
        </w:rPr>
        <w:t> </w:t>
      </w:r>
      <w:r>
        <w:rPr/>
        <w:t>museum</w:t>
      </w:r>
      <w:r>
        <w:rPr>
          <w:spacing w:val="29"/>
        </w:rPr>
        <w:t> </w:t>
      </w:r>
      <w:r>
        <w:rPr/>
        <w:t>also</w:t>
      </w:r>
      <w:r>
        <w:rPr>
          <w:spacing w:val="29"/>
        </w:rPr>
        <w:t> </w:t>
      </w:r>
      <w:r>
        <w:rPr/>
        <w:t>engaged</w:t>
      </w:r>
      <w:r>
        <w:rPr>
          <w:spacing w:val="29"/>
        </w:rPr>
        <w:t> </w:t>
      </w:r>
      <w:r>
        <w:rPr/>
        <w:t>women</w:t>
      </w:r>
      <w:r>
        <w:rPr>
          <w:spacing w:val="29"/>
        </w:rPr>
        <w:t> </w:t>
      </w:r>
      <w:r>
        <w:rPr/>
        <w:t>from</w:t>
      </w:r>
      <w:r>
        <w:rPr>
          <w:spacing w:val="29"/>
        </w:rPr>
        <w:t> </w:t>
      </w:r>
      <w:r>
        <w:rPr/>
        <w:t>rural</w:t>
      </w:r>
      <w:r>
        <w:rPr>
          <w:spacing w:val="29"/>
        </w:rPr>
        <w:t> </w:t>
      </w:r>
      <w:r>
        <w:rPr/>
        <w:t>and</w:t>
      </w:r>
      <w:r>
        <w:rPr>
          <w:spacing w:val="29"/>
        </w:rPr>
        <w:t> </w:t>
      </w:r>
      <w:r>
        <w:rPr/>
        <w:t>tribal</w:t>
      </w:r>
      <w:r>
        <w:rPr>
          <w:spacing w:val="29"/>
        </w:rPr>
        <w:t> </w:t>
      </w:r>
      <w:r>
        <w:rPr/>
        <w:t>communities</w:t>
      </w:r>
      <w:r>
        <w:rPr>
          <w:spacing w:val="29"/>
        </w:rPr>
        <w:t> </w:t>
      </w:r>
      <w:r>
        <w:rPr/>
        <w:t>of</w:t>
      </w:r>
    </w:p>
    <w:p>
      <w:pPr>
        <w:pStyle w:val="Heading1"/>
        <w:spacing w:after="0"/>
        <w:sectPr>
          <w:pgSz w:w="11910" w:h="16840"/>
          <w:pgMar w:header="0" w:footer="1001" w:top="1420" w:bottom="1200" w:left="1275" w:right="850"/>
        </w:sectPr>
      </w:pPr>
    </w:p>
    <w:p>
      <w:pPr>
        <w:spacing w:before="62"/>
        <w:ind w:left="165" w:right="593" w:firstLine="0"/>
        <w:jc w:val="both"/>
        <w:rPr>
          <w:rFonts w:ascii="Times New Roman"/>
          <w:sz w:val="24"/>
        </w:rPr>
      </w:pPr>
      <w:r>
        <w:rPr>
          <w:rFonts w:ascii="Times New Roman"/>
          <w:sz w:val="24"/>
        </w:rPr>
        <w:t>South Rajasthan, in collaboration with Jan Chetna Sansthan, through theatre-based creative workshops that culminated in a collective performance. Additionally, Conflictorium conducted customised workshops on Conflict Transformation and Critical Thinking for institutions such as IIT Gandhinagar, MGIS, and NGOs including Sanjeevta Foundation.</w:t>
      </w:r>
    </w:p>
    <w:p>
      <w:pPr>
        <w:pStyle w:val="BodyText"/>
        <w:rPr>
          <w:rFonts w:ascii="Times New Roman"/>
          <w:sz w:val="20"/>
        </w:rPr>
      </w:pPr>
    </w:p>
    <w:p>
      <w:pPr>
        <w:pStyle w:val="BodyText"/>
        <w:spacing w:before="229"/>
        <w:rPr>
          <w:rFonts w:ascii="Times New Roman"/>
          <w:sz w:val="20"/>
        </w:rPr>
      </w:pPr>
      <w:r>
        <w:rPr>
          <w:rFonts w:ascii="Times New Roman"/>
          <w:sz w:val="20"/>
        </w:rPr>
        <w:drawing>
          <wp:anchor distT="0" distB="0" distL="0" distR="0" allowOverlap="1" layoutInCell="1" locked="0" behindDoc="1" simplePos="0" relativeHeight="487597056">
            <wp:simplePos x="0" y="0"/>
            <wp:positionH relativeFrom="page">
              <wp:posOffset>914400</wp:posOffset>
            </wp:positionH>
            <wp:positionV relativeFrom="paragraph">
              <wp:posOffset>306726</wp:posOffset>
            </wp:positionV>
            <wp:extent cx="5193498" cy="3214116"/>
            <wp:effectExtent l="0" t="0" r="0" b="0"/>
            <wp:wrapTopAndBottom/>
            <wp:docPr id="24" name="Image 24"/>
            <wp:cNvGraphicFramePr>
              <a:graphicFrameLocks/>
            </wp:cNvGraphicFramePr>
            <a:graphic>
              <a:graphicData uri="http://schemas.openxmlformats.org/drawingml/2006/picture">
                <pic:pic>
                  <pic:nvPicPr>
                    <pic:cNvPr id="24" name="Image 24"/>
                    <pic:cNvPicPr/>
                  </pic:nvPicPr>
                  <pic:blipFill>
                    <a:blip r:embed="rId23" cstate="print"/>
                    <a:stretch>
                      <a:fillRect/>
                    </a:stretch>
                  </pic:blipFill>
                  <pic:spPr>
                    <a:xfrm>
                      <a:off x="0" y="0"/>
                      <a:ext cx="5193498" cy="3214116"/>
                    </a:xfrm>
                    <a:prstGeom prst="rect">
                      <a:avLst/>
                    </a:prstGeom>
                  </pic:spPr>
                </pic:pic>
              </a:graphicData>
            </a:graphic>
          </wp:anchor>
        </w:drawing>
      </w:r>
    </w:p>
    <w:p>
      <w:pPr>
        <w:pStyle w:val="Heading2"/>
        <w:spacing w:before="188"/>
      </w:pPr>
      <w:r>
        <w:rPr>
          <w:color w:val="141414"/>
        </w:rPr>
        <w:t>Engaging</w:t>
      </w:r>
      <w:r>
        <w:rPr>
          <w:color w:val="141414"/>
          <w:spacing w:val="-5"/>
        </w:rPr>
        <w:t> </w:t>
      </w:r>
      <w:r>
        <w:rPr>
          <w:color w:val="141414"/>
        </w:rPr>
        <w:t>the</w:t>
      </w:r>
      <w:r>
        <w:rPr>
          <w:color w:val="141414"/>
          <w:spacing w:val="-5"/>
        </w:rPr>
        <w:t> </w:t>
      </w:r>
      <w:r>
        <w:rPr>
          <w:color w:val="141414"/>
        </w:rPr>
        <w:t>Digital</w:t>
      </w:r>
      <w:r>
        <w:rPr>
          <w:color w:val="141414"/>
          <w:spacing w:val="-4"/>
        </w:rPr>
        <w:t> </w:t>
      </w:r>
      <w:r>
        <w:rPr>
          <w:color w:val="141414"/>
          <w:spacing w:val="-2"/>
        </w:rPr>
        <w:t>Space</w:t>
      </w:r>
    </w:p>
    <w:p>
      <w:pPr>
        <w:pStyle w:val="BodyText"/>
        <w:spacing w:line="259" w:lineRule="auto" w:before="200"/>
        <w:ind w:left="165" w:right="590"/>
        <w:jc w:val="both"/>
      </w:pPr>
      <w:r>
        <w:rPr>
          <w:color w:val="141414"/>
        </w:rPr>
        <w:t>In addition to physical events, Conflictorium has expanded its digital presence, facilitating workshops and discussions that engage audiences in meaningful dialogue. The online workshops, such as “Concern vs Currency” and “Disruption vs Disruption,” prompted participants to reflect on the conflicts inherent in societal structures and personal</w:t>
      </w:r>
      <w:r>
        <w:rPr>
          <w:color w:val="141414"/>
          <w:spacing w:val="40"/>
        </w:rPr>
        <w:t> </w:t>
      </w:r>
      <w:r>
        <w:rPr>
          <w:color w:val="141414"/>
        </w:rPr>
        <w:t>motivations. These virtual initiatives have fostered a sense of community, allowing</w:t>
      </w:r>
      <w:r>
        <w:rPr>
          <w:color w:val="141414"/>
          <w:spacing w:val="40"/>
        </w:rPr>
        <w:t> </w:t>
      </w:r>
      <w:r>
        <w:rPr>
          <w:color w:val="141414"/>
        </w:rPr>
        <w:t>individuals from diverse backgrounds to connect and share their experiences.</w:t>
      </w:r>
    </w:p>
    <w:p>
      <w:pPr>
        <w:pStyle w:val="BodyText"/>
        <w:rPr>
          <w:sz w:val="20"/>
        </w:rPr>
      </w:pPr>
    </w:p>
    <w:p>
      <w:pPr>
        <w:pStyle w:val="BodyText"/>
        <w:rPr>
          <w:sz w:val="20"/>
        </w:rPr>
      </w:pPr>
    </w:p>
    <w:p>
      <w:pPr>
        <w:pStyle w:val="BodyText"/>
        <w:rPr>
          <w:sz w:val="20"/>
        </w:rPr>
      </w:pPr>
    </w:p>
    <w:p>
      <w:pPr>
        <w:pStyle w:val="BodyText"/>
        <w:spacing w:before="141"/>
        <w:rPr>
          <w:sz w:val="20"/>
        </w:rPr>
      </w:pPr>
      <w:r>
        <w:rPr>
          <w:sz w:val="20"/>
        </w:rPr>
        <w:drawing>
          <wp:anchor distT="0" distB="0" distL="0" distR="0" allowOverlap="1" layoutInCell="1" locked="0" behindDoc="1" simplePos="0" relativeHeight="487597568">
            <wp:simplePos x="0" y="0"/>
            <wp:positionH relativeFrom="page">
              <wp:posOffset>914400</wp:posOffset>
            </wp:positionH>
            <wp:positionV relativeFrom="paragraph">
              <wp:posOffset>250812</wp:posOffset>
            </wp:positionV>
            <wp:extent cx="1720850" cy="2343150"/>
            <wp:effectExtent l="0" t="0" r="0" b="0"/>
            <wp:wrapTopAndBottom/>
            <wp:docPr id="25" name="Image 25"/>
            <wp:cNvGraphicFramePr>
              <a:graphicFrameLocks/>
            </wp:cNvGraphicFramePr>
            <a:graphic>
              <a:graphicData uri="http://schemas.openxmlformats.org/drawingml/2006/picture">
                <pic:pic>
                  <pic:nvPicPr>
                    <pic:cNvPr id="25" name="Image 25"/>
                    <pic:cNvPicPr/>
                  </pic:nvPicPr>
                  <pic:blipFill>
                    <a:blip r:embed="rId24" cstate="print"/>
                    <a:stretch>
                      <a:fillRect/>
                    </a:stretch>
                  </pic:blipFill>
                  <pic:spPr>
                    <a:xfrm>
                      <a:off x="0" y="0"/>
                      <a:ext cx="1720850" cy="2343150"/>
                    </a:xfrm>
                    <a:prstGeom prst="rect">
                      <a:avLst/>
                    </a:prstGeom>
                  </pic:spPr>
                </pic:pic>
              </a:graphicData>
            </a:graphic>
          </wp:anchor>
        </w:drawing>
      </w:r>
      <w:r>
        <w:rPr>
          <w:sz w:val="20"/>
        </w:rPr>
        <w:drawing>
          <wp:anchor distT="0" distB="0" distL="0" distR="0" allowOverlap="1" layoutInCell="1" locked="0" behindDoc="1" simplePos="0" relativeHeight="487598080">
            <wp:simplePos x="0" y="0"/>
            <wp:positionH relativeFrom="page">
              <wp:posOffset>2712872</wp:posOffset>
            </wp:positionH>
            <wp:positionV relativeFrom="paragraph">
              <wp:posOffset>250812</wp:posOffset>
            </wp:positionV>
            <wp:extent cx="1873249" cy="2343150"/>
            <wp:effectExtent l="0" t="0" r="0" b="0"/>
            <wp:wrapTopAndBottom/>
            <wp:docPr id="26" name="Image 26"/>
            <wp:cNvGraphicFramePr>
              <a:graphicFrameLocks/>
            </wp:cNvGraphicFramePr>
            <a:graphic>
              <a:graphicData uri="http://schemas.openxmlformats.org/drawingml/2006/picture">
                <pic:pic>
                  <pic:nvPicPr>
                    <pic:cNvPr id="26" name="Image 26"/>
                    <pic:cNvPicPr/>
                  </pic:nvPicPr>
                  <pic:blipFill>
                    <a:blip r:embed="rId25" cstate="print"/>
                    <a:stretch>
                      <a:fillRect/>
                    </a:stretch>
                  </pic:blipFill>
                  <pic:spPr>
                    <a:xfrm>
                      <a:off x="0" y="0"/>
                      <a:ext cx="1873249" cy="2343150"/>
                    </a:xfrm>
                    <a:prstGeom prst="rect">
                      <a:avLst/>
                    </a:prstGeom>
                  </pic:spPr>
                </pic:pic>
              </a:graphicData>
            </a:graphic>
          </wp:anchor>
        </w:drawing>
      </w:r>
      <w:r>
        <w:rPr>
          <w:sz w:val="20"/>
        </w:rPr>
        <w:drawing>
          <wp:anchor distT="0" distB="0" distL="0" distR="0" allowOverlap="1" layoutInCell="1" locked="0" behindDoc="1" simplePos="0" relativeHeight="487598592">
            <wp:simplePos x="0" y="0"/>
            <wp:positionH relativeFrom="page">
              <wp:posOffset>4702568</wp:posOffset>
            </wp:positionH>
            <wp:positionV relativeFrom="paragraph">
              <wp:posOffset>250812</wp:posOffset>
            </wp:positionV>
            <wp:extent cx="1657350" cy="2343150"/>
            <wp:effectExtent l="0" t="0" r="0" b="0"/>
            <wp:wrapTopAndBottom/>
            <wp:docPr id="27" name="Image 27"/>
            <wp:cNvGraphicFramePr>
              <a:graphicFrameLocks/>
            </wp:cNvGraphicFramePr>
            <a:graphic>
              <a:graphicData uri="http://schemas.openxmlformats.org/drawingml/2006/picture">
                <pic:pic>
                  <pic:nvPicPr>
                    <pic:cNvPr id="27" name="Image 27"/>
                    <pic:cNvPicPr/>
                  </pic:nvPicPr>
                  <pic:blipFill>
                    <a:blip r:embed="rId26" cstate="print"/>
                    <a:stretch>
                      <a:fillRect/>
                    </a:stretch>
                  </pic:blipFill>
                  <pic:spPr>
                    <a:xfrm>
                      <a:off x="0" y="0"/>
                      <a:ext cx="1657350" cy="2343150"/>
                    </a:xfrm>
                    <a:prstGeom prst="rect">
                      <a:avLst/>
                    </a:prstGeom>
                  </pic:spPr>
                </pic:pic>
              </a:graphicData>
            </a:graphic>
          </wp:anchor>
        </w:drawing>
      </w:r>
    </w:p>
    <w:p>
      <w:pPr>
        <w:pStyle w:val="BodyText"/>
        <w:spacing w:after="0"/>
        <w:rPr>
          <w:sz w:val="20"/>
        </w:rPr>
        <w:sectPr>
          <w:pgSz w:w="11910" w:h="16840"/>
          <w:pgMar w:header="0" w:footer="1001" w:top="1360" w:bottom="1200" w:left="1275" w:right="850"/>
        </w:sectPr>
      </w:pPr>
    </w:p>
    <w:p>
      <w:pPr>
        <w:pStyle w:val="Heading2"/>
        <w:spacing w:before="75"/>
      </w:pPr>
      <w:r>
        <w:rPr>
          <w:color w:val="141414"/>
        </w:rPr>
        <w:t>Conclusion:</w:t>
      </w:r>
      <w:r>
        <w:rPr>
          <w:color w:val="141414"/>
          <w:spacing w:val="-3"/>
        </w:rPr>
        <w:t> </w:t>
      </w:r>
      <w:r>
        <w:rPr>
          <w:color w:val="141414"/>
        </w:rPr>
        <w:t>A</w:t>
      </w:r>
      <w:r>
        <w:rPr>
          <w:color w:val="141414"/>
          <w:spacing w:val="-2"/>
        </w:rPr>
        <w:t> </w:t>
      </w:r>
      <w:r>
        <w:rPr>
          <w:color w:val="141414"/>
        </w:rPr>
        <w:t>Year</w:t>
      </w:r>
      <w:r>
        <w:rPr>
          <w:color w:val="141414"/>
          <w:spacing w:val="-2"/>
        </w:rPr>
        <w:t> </w:t>
      </w:r>
      <w:r>
        <w:rPr>
          <w:color w:val="141414"/>
        </w:rPr>
        <w:t>of</w:t>
      </w:r>
      <w:r>
        <w:rPr>
          <w:color w:val="141414"/>
          <w:spacing w:val="-2"/>
        </w:rPr>
        <w:t> </w:t>
      </w:r>
      <w:r>
        <w:rPr>
          <w:color w:val="141414"/>
        </w:rPr>
        <w:t>Reflection</w:t>
      </w:r>
      <w:r>
        <w:rPr>
          <w:color w:val="141414"/>
          <w:spacing w:val="-2"/>
        </w:rPr>
        <w:t> </w:t>
      </w:r>
      <w:r>
        <w:rPr>
          <w:color w:val="141414"/>
        </w:rPr>
        <w:t>and</w:t>
      </w:r>
      <w:r>
        <w:rPr>
          <w:color w:val="141414"/>
          <w:spacing w:val="-2"/>
        </w:rPr>
        <w:t> Growth</w:t>
      </w:r>
    </w:p>
    <w:p>
      <w:pPr>
        <w:pStyle w:val="BodyText"/>
        <w:spacing w:line="259" w:lineRule="auto" w:before="200"/>
        <w:ind w:left="165" w:right="591"/>
        <w:jc w:val="both"/>
      </w:pPr>
      <w:r>
        <w:rPr>
          <w:color w:val="141414"/>
        </w:rPr>
        <w:t>The year 2024 has been a transformative period for Conflictorium, marked by a series of impactful exhibitions, performances, and community engagements. As we reflect on our accomplishments, we remain committed to fostering dialogues around identity, belonging, and social justice. We extend our gratitude to all stakeholders, community members, and artists who have contributed to our journey. Together, we look forward to continuing our mission of creating a space for reflection, expression, and connection in the coming years.</w:t>
      </w:r>
    </w:p>
    <w:sectPr>
      <w:pgSz w:w="11910" w:h="16840"/>
      <w:pgMar w:header="0" w:footer="1001" w:top="1800" w:bottom="1200" w:left="1275" w:right="85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Calibri">
    <w:altName w:val="Calibri"/>
    <w:charset w:val="1"/>
    <w:family w:val="swiss"/>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426048">
              <wp:simplePos x="0" y="0"/>
              <wp:positionH relativeFrom="page">
                <wp:posOffset>6491604</wp:posOffset>
              </wp:positionH>
              <wp:positionV relativeFrom="page">
                <wp:posOffset>9917026</wp:posOffset>
              </wp:positionV>
              <wp:extent cx="205104" cy="16510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205104" cy="165100"/>
                      </a:xfrm>
                      <a:prstGeom prst="rect">
                        <a:avLst/>
                      </a:prstGeom>
                    </wps:spPr>
                    <wps:txbx>
                      <w:txbxContent>
                        <w:p>
                          <w:pPr>
                            <w:pStyle w:val="BodyText"/>
                            <w:spacing w:line="244" w:lineRule="exact"/>
                            <w:ind w:left="20"/>
                            <w:rPr>
                              <w:rFonts w:ascii="Calibri"/>
                            </w:rPr>
                          </w:pPr>
                          <w:r>
                            <w:rPr>
                              <w:rFonts w:ascii="Calibri"/>
                              <w:spacing w:val="-5"/>
                            </w:rPr>
                            <w:fldChar w:fldCharType="begin"/>
                          </w:r>
                          <w:r>
                            <w:rPr>
                              <w:rFonts w:ascii="Calibri"/>
                              <w:spacing w:val="-5"/>
                            </w:rPr>
                            <w:instrText> PAGE </w:instrText>
                          </w:r>
                          <w:r>
                            <w:rPr>
                              <w:rFonts w:ascii="Calibri"/>
                              <w:spacing w:val="-5"/>
                            </w:rPr>
                            <w:fldChar w:fldCharType="separate"/>
                          </w:r>
                          <w:r>
                            <w:rPr>
                              <w:rFonts w:ascii="Calibri"/>
                              <w:spacing w:val="-5"/>
                            </w:rPr>
                            <w:t>10</w:t>
                          </w:r>
                          <w:r>
                            <w:rPr>
                              <w:rFonts w:ascii="Calibri"/>
                              <w:spacing w:val="-5"/>
                            </w:rPr>
                            <w:fldChar w:fldCharType="end"/>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511.149994pt;margin-top:780.868225pt;width:16.1500pt;height:13pt;mso-position-horizontal-relative:page;mso-position-vertical-relative:page;z-index:-15890432" type="#_x0000_t202" id="docshape1" filled="false" stroked="false">
              <v:textbox inset="0,0,0,0">
                <w:txbxContent>
                  <w:p>
                    <w:pPr>
                      <w:pStyle w:val="BodyText"/>
                      <w:spacing w:line="244" w:lineRule="exact"/>
                      <w:ind w:left="20"/>
                      <w:rPr>
                        <w:rFonts w:ascii="Calibri"/>
                      </w:rPr>
                    </w:pPr>
                    <w:r>
                      <w:rPr>
                        <w:rFonts w:ascii="Calibri"/>
                        <w:spacing w:val="-5"/>
                      </w:rPr>
                      <w:fldChar w:fldCharType="begin"/>
                    </w:r>
                    <w:r>
                      <w:rPr>
                        <w:rFonts w:ascii="Calibri"/>
                        <w:spacing w:val="-5"/>
                      </w:rPr>
                      <w:instrText> PAGE </w:instrText>
                    </w:r>
                    <w:r>
                      <w:rPr>
                        <w:rFonts w:ascii="Calibri"/>
                        <w:spacing w:val="-5"/>
                      </w:rPr>
                      <w:fldChar w:fldCharType="separate"/>
                    </w:r>
                    <w:r>
                      <w:rPr>
                        <w:rFonts w:ascii="Calibri"/>
                        <w:spacing w:val="-5"/>
                      </w:rPr>
                      <w:t>10</w:t>
                    </w:r>
                    <w:r>
                      <w:rPr>
                        <w:rFonts w:ascii="Calibri"/>
                        <w:spacing w:val="-5"/>
                      </w:rPr>
                      <w:fldChar w:fldCharType="end"/>
                    </w:r>
                  </w:p>
                </w:txbxContent>
              </v:textbox>
              <w10:wrap type="none"/>
            </v:shape>
          </w:pict>
        </mc:Fallback>
      </mc:AlternateConten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1"/>
      <w:numFmt w:val="decimal"/>
      <w:lvlText w:val="%1."/>
      <w:lvlJc w:val="left"/>
      <w:pPr>
        <w:ind w:left="165" w:hanging="253"/>
        <w:jc w:val="left"/>
      </w:pPr>
      <w:rPr>
        <w:rFonts w:hint="default" w:ascii="Arial" w:hAnsi="Arial" w:eastAsia="Arial" w:cs="Arial"/>
        <w:b/>
        <w:bCs/>
        <w:i w:val="0"/>
        <w:iCs w:val="0"/>
        <w:spacing w:val="-1"/>
        <w:w w:val="100"/>
        <w:sz w:val="22"/>
        <w:szCs w:val="22"/>
        <w:lang w:val="en-US" w:eastAsia="en-US" w:bidi="ar-SA"/>
      </w:rPr>
    </w:lvl>
    <w:lvl w:ilvl="1">
      <w:start w:val="0"/>
      <w:numFmt w:val="bullet"/>
      <w:lvlText w:val="•"/>
      <w:lvlJc w:val="left"/>
      <w:pPr>
        <w:ind w:left="885" w:hanging="360"/>
      </w:pPr>
      <w:rPr>
        <w:rFonts w:hint="default" w:ascii="Arial" w:hAnsi="Arial" w:eastAsia="Arial" w:cs="Arial"/>
        <w:b w:val="0"/>
        <w:bCs w:val="0"/>
        <w:i w:val="0"/>
        <w:iCs w:val="0"/>
        <w:spacing w:val="0"/>
        <w:w w:val="117"/>
        <w:sz w:val="20"/>
        <w:szCs w:val="20"/>
        <w:lang w:val="en-US" w:eastAsia="en-US" w:bidi="ar-SA"/>
      </w:rPr>
    </w:lvl>
    <w:lvl w:ilvl="2">
      <w:start w:val="0"/>
      <w:numFmt w:val="bullet"/>
      <w:lvlText w:val="•"/>
      <w:lvlJc w:val="left"/>
      <w:pPr>
        <w:ind w:left="1869" w:hanging="360"/>
      </w:pPr>
      <w:rPr>
        <w:rFonts w:hint="default"/>
        <w:lang w:val="en-US" w:eastAsia="en-US" w:bidi="ar-SA"/>
      </w:rPr>
    </w:lvl>
    <w:lvl w:ilvl="3">
      <w:start w:val="0"/>
      <w:numFmt w:val="bullet"/>
      <w:lvlText w:val="•"/>
      <w:lvlJc w:val="left"/>
      <w:pPr>
        <w:ind w:left="2858" w:hanging="360"/>
      </w:pPr>
      <w:rPr>
        <w:rFonts w:hint="default"/>
        <w:lang w:val="en-US" w:eastAsia="en-US" w:bidi="ar-SA"/>
      </w:rPr>
    </w:lvl>
    <w:lvl w:ilvl="4">
      <w:start w:val="0"/>
      <w:numFmt w:val="bullet"/>
      <w:lvlText w:val="•"/>
      <w:lvlJc w:val="left"/>
      <w:pPr>
        <w:ind w:left="3847" w:hanging="360"/>
      </w:pPr>
      <w:rPr>
        <w:rFonts w:hint="default"/>
        <w:lang w:val="en-US" w:eastAsia="en-US" w:bidi="ar-SA"/>
      </w:rPr>
    </w:lvl>
    <w:lvl w:ilvl="5">
      <w:start w:val="0"/>
      <w:numFmt w:val="bullet"/>
      <w:lvlText w:val="•"/>
      <w:lvlJc w:val="left"/>
      <w:pPr>
        <w:ind w:left="4836" w:hanging="360"/>
      </w:pPr>
      <w:rPr>
        <w:rFonts w:hint="default"/>
        <w:lang w:val="en-US" w:eastAsia="en-US" w:bidi="ar-SA"/>
      </w:rPr>
    </w:lvl>
    <w:lvl w:ilvl="6">
      <w:start w:val="0"/>
      <w:numFmt w:val="bullet"/>
      <w:lvlText w:val="•"/>
      <w:lvlJc w:val="left"/>
      <w:pPr>
        <w:ind w:left="5825" w:hanging="360"/>
      </w:pPr>
      <w:rPr>
        <w:rFonts w:hint="default"/>
        <w:lang w:val="en-US" w:eastAsia="en-US" w:bidi="ar-SA"/>
      </w:rPr>
    </w:lvl>
    <w:lvl w:ilvl="7">
      <w:start w:val="0"/>
      <w:numFmt w:val="bullet"/>
      <w:lvlText w:val="•"/>
      <w:lvlJc w:val="left"/>
      <w:pPr>
        <w:ind w:left="6814" w:hanging="360"/>
      </w:pPr>
      <w:rPr>
        <w:rFonts w:hint="default"/>
        <w:lang w:val="en-US" w:eastAsia="en-US" w:bidi="ar-SA"/>
      </w:rPr>
    </w:lvl>
    <w:lvl w:ilvl="8">
      <w:start w:val="0"/>
      <w:numFmt w:val="bullet"/>
      <w:lvlText w:val="•"/>
      <w:lvlJc w:val="left"/>
      <w:pPr>
        <w:ind w:left="7803" w:hanging="360"/>
      </w:pPr>
      <w:rPr>
        <w:rFonts w:hint="default"/>
        <w:lang w:val="en-US" w:eastAsia="en-US" w:bidi="ar-SA"/>
      </w:rPr>
    </w:lvl>
  </w:abstractNum>
  <w:abstractNum w:abstractNumId="1">
    <w:multiLevelType w:val="hybridMultilevel"/>
    <w:lvl w:ilvl="0">
      <w:start w:val="1"/>
      <w:numFmt w:val="decimal"/>
      <w:lvlText w:val="%1."/>
      <w:lvlJc w:val="left"/>
      <w:pPr>
        <w:ind w:left="5585" w:hanging="441"/>
        <w:jc w:val="right"/>
      </w:pPr>
      <w:rPr>
        <w:rFonts w:hint="default" w:ascii="Arial" w:hAnsi="Arial" w:eastAsia="Arial" w:cs="Arial"/>
        <w:b/>
        <w:bCs/>
        <w:i w:val="0"/>
        <w:iCs w:val="0"/>
        <w:spacing w:val="-1"/>
        <w:w w:val="100"/>
        <w:sz w:val="22"/>
        <w:szCs w:val="22"/>
        <w:lang w:val="en-US" w:eastAsia="en-US" w:bidi="ar-SA"/>
      </w:rPr>
    </w:lvl>
    <w:lvl w:ilvl="1">
      <w:start w:val="0"/>
      <w:numFmt w:val="bullet"/>
      <w:lvlText w:val="•"/>
      <w:lvlJc w:val="left"/>
      <w:pPr>
        <w:ind w:left="525" w:hanging="360"/>
      </w:pPr>
      <w:rPr>
        <w:rFonts w:hint="default" w:ascii="Arial" w:hAnsi="Arial" w:eastAsia="Arial" w:cs="Arial"/>
        <w:b w:val="0"/>
        <w:bCs w:val="0"/>
        <w:i w:val="0"/>
        <w:iCs w:val="0"/>
        <w:spacing w:val="0"/>
        <w:w w:val="117"/>
        <w:sz w:val="20"/>
        <w:szCs w:val="20"/>
        <w:lang w:val="en-US" w:eastAsia="en-US" w:bidi="ar-SA"/>
      </w:rPr>
    </w:lvl>
    <w:lvl w:ilvl="2">
      <w:start w:val="0"/>
      <w:numFmt w:val="bullet"/>
      <w:lvlText w:val="•"/>
      <w:lvlJc w:val="left"/>
      <w:pPr>
        <w:ind w:left="6046" w:hanging="360"/>
      </w:pPr>
      <w:rPr>
        <w:rFonts w:hint="default"/>
        <w:lang w:val="en-US" w:eastAsia="en-US" w:bidi="ar-SA"/>
      </w:rPr>
    </w:lvl>
    <w:lvl w:ilvl="3">
      <w:start w:val="0"/>
      <w:numFmt w:val="bullet"/>
      <w:lvlText w:val="•"/>
      <w:lvlJc w:val="left"/>
      <w:pPr>
        <w:ind w:left="6513" w:hanging="360"/>
      </w:pPr>
      <w:rPr>
        <w:rFonts w:hint="default"/>
        <w:lang w:val="en-US" w:eastAsia="en-US" w:bidi="ar-SA"/>
      </w:rPr>
    </w:lvl>
    <w:lvl w:ilvl="4">
      <w:start w:val="0"/>
      <w:numFmt w:val="bullet"/>
      <w:lvlText w:val="•"/>
      <w:lvlJc w:val="left"/>
      <w:pPr>
        <w:ind w:left="6980" w:hanging="360"/>
      </w:pPr>
      <w:rPr>
        <w:rFonts w:hint="default"/>
        <w:lang w:val="en-US" w:eastAsia="en-US" w:bidi="ar-SA"/>
      </w:rPr>
    </w:lvl>
    <w:lvl w:ilvl="5">
      <w:start w:val="0"/>
      <w:numFmt w:val="bullet"/>
      <w:lvlText w:val="•"/>
      <w:lvlJc w:val="left"/>
      <w:pPr>
        <w:ind w:left="7447" w:hanging="360"/>
      </w:pPr>
      <w:rPr>
        <w:rFonts w:hint="default"/>
        <w:lang w:val="en-US" w:eastAsia="en-US" w:bidi="ar-SA"/>
      </w:rPr>
    </w:lvl>
    <w:lvl w:ilvl="6">
      <w:start w:val="0"/>
      <w:numFmt w:val="bullet"/>
      <w:lvlText w:val="•"/>
      <w:lvlJc w:val="left"/>
      <w:pPr>
        <w:ind w:left="7913" w:hanging="360"/>
      </w:pPr>
      <w:rPr>
        <w:rFonts w:hint="default"/>
        <w:lang w:val="en-US" w:eastAsia="en-US" w:bidi="ar-SA"/>
      </w:rPr>
    </w:lvl>
    <w:lvl w:ilvl="7">
      <w:start w:val="0"/>
      <w:numFmt w:val="bullet"/>
      <w:lvlText w:val="•"/>
      <w:lvlJc w:val="left"/>
      <w:pPr>
        <w:ind w:left="8380" w:hanging="360"/>
      </w:pPr>
      <w:rPr>
        <w:rFonts w:hint="default"/>
        <w:lang w:val="en-US" w:eastAsia="en-US" w:bidi="ar-SA"/>
      </w:rPr>
    </w:lvl>
    <w:lvl w:ilvl="8">
      <w:start w:val="0"/>
      <w:numFmt w:val="bullet"/>
      <w:lvlText w:val="•"/>
      <w:lvlJc w:val="left"/>
      <w:pPr>
        <w:ind w:left="8847" w:hanging="360"/>
      </w:pPr>
      <w:rPr>
        <w:rFonts w:hint="default"/>
        <w:lang w:val="en-US" w:eastAsia="en-US" w:bidi="ar-SA"/>
      </w:rPr>
    </w:lvl>
  </w:abstractNum>
  <w:abstractNum w:abstractNumId="0">
    <w:multiLevelType w:val="hybridMultilevel"/>
    <w:lvl w:ilvl="0">
      <w:start w:val="0"/>
      <w:numFmt w:val="bullet"/>
      <w:lvlText w:val="•"/>
      <w:lvlJc w:val="left"/>
      <w:pPr>
        <w:ind w:left="525" w:hanging="360"/>
      </w:pPr>
      <w:rPr>
        <w:rFonts w:hint="default" w:ascii="Arial" w:hAnsi="Arial" w:eastAsia="Arial" w:cs="Arial"/>
        <w:b w:val="0"/>
        <w:bCs w:val="0"/>
        <w:i w:val="0"/>
        <w:iCs w:val="0"/>
        <w:spacing w:val="0"/>
        <w:w w:val="117"/>
        <w:sz w:val="22"/>
        <w:szCs w:val="22"/>
        <w:lang w:val="en-US" w:eastAsia="en-US" w:bidi="ar-SA"/>
      </w:rPr>
    </w:lvl>
    <w:lvl w:ilvl="1">
      <w:start w:val="0"/>
      <w:numFmt w:val="bullet"/>
      <w:lvlText w:val="•"/>
      <w:lvlJc w:val="left"/>
      <w:pPr>
        <w:ind w:left="1446" w:hanging="360"/>
      </w:pPr>
      <w:rPr>
        <w:rFonts w:hint="default"/>
        <w:lang w:val="en-US" w:eastAsia="en-US" w:bidi="ar-SA"/>
      </w:rPr>
    </w:lvl>
    <w:lvl w:ilvl="2">
      <w:start w:val="0"/>
      <w:numFmt w:val="bullet"/>
      <w:lvlText w:val="•"/>
      <w:lvlJc w:val="left"/>
      <w:pPr>
        <w:ind w:left="2372" w:hanging="360"/>
      </w:pPr>
      <w:rPr>
        <w:rFonts w:hint="default"/>
        <w:lang w:val="en-US" w:eastAsia="en-US" w:bidi="ar-SA"/>
      </w:rPr>
    </w:lvl>
    <w:lvl w:ilvl="3">
      <w:start w:val="0"/>
      <w:numFmt w:val="bullet"/>
      <w:lvlText w:val="•"/>
      <w:lvlJc w:val="left"/>
      <w:pPr>
        <w:ind w:left="3298" w:hanging="360"/>
      </w:pPr>
      <w:rPr>
        <w:rFonts w:hint="default"/>
        <w:lang w:val="en-US" w:eastAsia="en-US" w:bidi="ar-SA"/>
      </w:rPr>
    </w:lvl>
    <w:lvl w:ilvl="4">
      <w:start w:val="0"/>
      <w:numFmt w:val="bullet"/>
      <w:lvlText w:val="•"/>
      <w:lvlJc w:val="left"/>
      <w:pPr>
        <w:ind w:left="4224" w:hanging="360"/>
      </w:pPr>
      <w:rPr>
        <w:rFonts w:hint="default"/>
        <w:lang w:val="en-US" w:eastAsia="en-US" w:bidi="ar-SA"/>
      </w:rPr>
    </w:lvl>
    <w:lvl w:ilvl="5">
      <w:start w:val="0"/>
      <w:numFmt w:val="bullet"/>
      <w:lvlText w:val="•"/>
      <w:lvlJc w:val="left"/>
      <w:pPr>
        <w:ind w:left="5150" w:hanging="360"/>
      </w:pPr>
      <w:rPr>
        <w:rFonts w:hint="default"/>
        <w:lang w:val="en-US" w:eastAsia="en-US" w:bidi="ar-SA"/>
      </w:rPr>
    </w:lvl>
    <w:lvl w:ilvl="6">
      <w:start w:val="0"/>
      <w:numFmt w:val="bullet"/>
      <w:lvlText w:val="•"/>
      <w:lvlJc w:val="left"/>
      <w:pPr>
        <w:ind w:left="6076" w:hanging="360"/>
      </w:pPr>
      <w:rPr>
        <w:rFonts w:hint="default"/>
        <w:lang w:val="en-US" w:eastAsia="en-US" w:bidi="ar-SA"/>
      </w:rPr>
    </w:lvl>
    <w:lvl w:ilvl="7">
      <w:start w:val="0"/>
      <w:numFmt w:val="bullet"/>
      <w:lvlText w:val="•"/>
      <w:lvlJc w:val="left"/>
      <w:pPr>
        <w:ind w:left="7002" w:hanging="360"/>
      </w:pPr>
      <w:rPr>
        <w:rFonts w:hint="default"/>
        <w:lang w:val="en-US" w:eastAsia="en-US" w:bidi="ar-SA"/>
      </w:rPr>
    </w:lvl>
    <w:lvl w:ilvl="8">
      <w:start w:val="0"/>
      <w:numFmt w:val="bullet"/>
      <w:lvlText w:val="•"/>
      <w:lvlJc w:val="left"/>
      <w:pPr>
        <w:ind w:left="7928" w:hanging="360"/>
      </w:pPr>
      <w:rPr>
        <w:rFonts w:hint="default"/>
        <w:lang w:val="en-US" w:eastAsia="en-US" w:bidi="ar-SA"/>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22"/>
      <w:szCs w:val="22"/>
      <w:lang w:val="en-US" w:eastAsia="en-US" w:bidi="ar-SA"/>
    </w:rPr>
  </w:style>
  <w:style w:styleId="Heading1" w:type="paragraph">
    <w:name w:val="Heading 1"/>
    <w:basedOn w:val="Normal"/>
    <w:uiPriority w:val="1"/>
    <w:qFormat/>
    <w:pPr>
      <w:ind w:left="164" w:right="589"/>
      <w:jc w:val="both"/>
      <w:outlineLvl w:val="1"/>
    </w:pPr>
    <w:rPr>
      <w:rFonts w:ascii="Times New Roman" w:hAnsi="Times New Roman" w:eastAsia="Times New Roman" w:cs="Times New Roman"/>
      <w:sz w:val="24"/>
      <w:szCs w:val="24"/>
      <w:lang w:val="en-US" w:eastAsia="en-US" w:bidi="ar-SA"/>
    </w:rPr>
  </w:style>
  <w:style w:styleId="Heading2" w:type="paragraph">
    <w:name w:val="Heading 2"/>
    <w:basedOn w:val="Normal"/>
    <w:uiPriority w:val="1"/>
    <w:qFormat/>
    <w:pPr>
      <w:ind w:left="165"/>
      <w:jc w:val="both"/>
      <w:outlineLvl w:val="2"/>
    </w:pPr>
    <w:rPr>
      <w:rFonts w:ascii="Arial" w:hAnsi="Arial" w:eastAsia="Arial" w:cs="Arial"/>
      <w:b/>
      <w:bCs/>
      <w:sz w:val="22"/>
      <w:szCs w:val="22"/>
      <w:lang w:val="en-US" w:eastAsia="en-US" w:bidi="ar-SA"/>
    </w:rPr>
  </w:style>
  <w:style w:styleId="ListParagraph" w:type="paragraph">
    <w:name w:val="List Paragraph"/>
    <w:basedOn w:val="Normal"/>
    <w:uiPriority w:val="1"/>
    <w:qFormat/>
    <w:pPr>
      <w:spacing w:before="160"/>
      <w:ind w:left="165" w:right="589"/>
      <w:jc w:val="both"/>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image" Target="media/image3.jpeg"/><Relationship Id="rId9" Type="http://schemas.openxmlformats.org/officeDocument/2006/relationships/image" Target="media/image4.jpeg"/><Relationship Id="rId10" Type="http://schemas.openxmlformats.org/officeDocument/2006/relationships/image" Target="media/image5.jpeg"/><Relationship Id="rId11" Type="http://schemas.openxmlformats.org/officeDocument/2006/relationships/image" Target="media/image6.jpeg"/><Relationship Id="rId12" Type="http://schemas.openxmlformats.org/officeDocument/2006/relationships/image" Target="media/image7.jpeg"/><Relationship Id="rId13" Type="http://schemas.openxmlformats.org/officeDocument/2006/relationships/image" Target="media/image8.jpeg"/><Relationship Id="rId14" Type="http://schemas.openxmlformats.org/officeDocument/2006/relationships/image" Target="media/image9.png"/><Relationship Id="rId15" Type="http://schemas.openxmlformats.org/officeDocument/2006/relationships/image" Target="media/image10.jpeg"/><Relationship Id="rId16" Type="http://schemas.openxmlformats.org/officeDocument/2006/relationships/image" Target="media/image11.png"/><Relationship Id="rId17" Type="http://schemas.openxmlformats.org/officeDocument/2006/relationships/image" Target="media/image12.png"/><Relationship Id="rId18" Type="http://schemas.openxmlformats.org/officeDocument/2006/relationships/image" Target="media/image13.png"/><Relationship Id="rId19" Type="http://schemas.openxmlformats.org/officeDocument/2006/relationships/image" Target="media/image14.jpeg"/><Relationship Id="rId20" Type="http://schemas.openxmlformats.org/officeDocument/2006/relationships/image" Target="media/image15.png"/><Relationship Id="rId21" Type="http://schemas.openxmlformats.org/officeDocument/2006/relationships/image" Target="media/image16.png"/><Relationship Id="rId22" Type="http://schemas.openxmlformats.org/officeDocument/2006/relationships/image" Target="media/image17.png"/><Relationship Id="rId23" Type="http://schemas.openxmlformats.org/officeDocument/2006/relationships/image" Target="media/image18.jpeg"/><Relationship Id="rId24" Type="http://schemas.openxmlformats.org/officeDocument/2006/relationships/image" Target="media/image19.png"/><Relationship Id="rId25" Type="http://schemas.openxmlformats.org/officeDocument/2006/relationships/image" Target="media/image20.png"/><Relationship Id="rId26" Type="http://schemas.openxmlformats.org/officeDocument/2006/relationships/image" Target="media/image21.png"/><Relationship Id="rId2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2026-01-17T06:15:20Z</dcterms:created>
  <dcterms:modified xsi:type="dcterms:W3CDTF">2026-01-17T06:15:20Z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2026-01-17T00:00:00Z</vt:filetime>
  </property>
  <property fmtid="{D5CDD505-2E9C-101B-9397-08002B2CF9AE}" pid="3" name="LastSaved">
    <vt:filetime>2026-01-17T00:00:00Z</vt:filetime>
  </property>
  <property fmtid="{D5CDD505-2E9C-101B-9397-08002B2CF9AE}" pid="4" name="Producer">
    <vt:lpwstr>3-Heights(TM) PDF Security Shell 4.8.25.2 (http://www.pdf-tools.com)</vt:lpwstr>
  </property>
</Properties>
</file>